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20F89" w14:textId="4C4F9D5F" w:rsidR="00950B5D" w:rsidRDefault="00B23DC5" w:rsidP="00950B5D">
      <w:pPr>
        <w:jc w:val="both"/>
        <w:rPr>
          <w:b/>
          <w:lang w:val="en-US"/>
        </w:rPr>
      </w:pPr>
      <w:r>
        <w:rPr>
          <w:b/>
          <w:lang w:val="en-US"/>
        </w:rPr>
        <w:t>Answers to the questionnaire on</w:t>
      </w:r>
      <w:r w:rsidR="00E4112E">
        <w:rPr>
          <w:b/>
          <w:lang w:val="en-US"/>
        </w:rPr>
        <w:t xml:space="preserve"> unified Interpretation for</w:t>
      </w:r>
      <w:r w:rsidR="002B3FD9">
        <w:rPr>
          <w:b/>
          <w:lang w:val="en-US"/>
        </w:rPr>
        <w:t xml:space="preserve"> breaking </w:t>
      </w:r>
      <w:r w:rsidR="00E4112E">
        <w:rPr>
          <w:b/>
          <w:lang w:val="en-US"/>
        </w:rPr>
        <w:t>the shipowner’s right to limit liability.</w:t>
      </w:r>
    </w:p>
    <w:p w14:paraId="69FADB6D" w14:textId="77777777" w:rsidR="00950B5D" w:rsidRDefault="00950B5D" w:rsidP="00950B5D">
      <w:pPr>
        <w:jc w:val="both"/>
        <w:rPr>
          <w:b/>
          <w:lang w:val="en-US"/>
        </w:rPr>
      </w:pPr>
    </w:p>
    <w:p w14:paraId="6873CDF6" w14:textId="7863968F" w:rsidR="00674D6D" w:rsidRDefault="006C3963" w:rsidP="00674D6D">
      <w:pPr>
        <w:pStyle w:val="Paragraphedeliste"/>
        <w:numPr>
          <w:ilvl w:val="0"/>
          <w:numId w:val="3"/>
        </w:numPr>
        <w:ind w:left="567" w:hanging="567"/>
        <w:jc w:val="both"/>
        <w:rPr>
          <w:b/>
          <w:lang w:val="en-US"/>
        </w:rPr>
      </w:pPr>
      <w:r w:rsidRPr="0085565A">
        <w:rPr>
          <w:b/>
          <w:lang w:val="en-US"/>
        </w:rPr>
        <w:t>PRELIMINARY QUESTIONS</w:t>
      </w:r>
    </w:p>
    <w:p w14:paraId="1F93D1B4" w14:textId="77777777" w:rsidR="0063366C" w:rsidRPr="00674D6D" w:rsidRDefault="0063366C" w:rsidP="0063366C">
      <w:pPr>
        <w:pStyle w:val="Paragraphedeliste"/>
        <w:ind w:left="567"/>
        <w:jc w:val="both"/>
        <w:rPr>
          <w:b/>
          <w:lang w:val="en-US"/>
        </w:rPr>
      </w:pPr>
    </w:p>
    <w:p w14:paraId="1A284B69" w14:textId="77777777" w:rsidR="00B67661" w:rsidRDefault="006C3963" w:rsidP="00514F5B">
      <w:pPr>
        <w:pStyle w:val="Paragraphedeliste"/>
        <w:numPr>
          <w:ilvl w:val="0"/>
          <w:numId w:val="2"/>
        </w:numPr>
        <w:spacing w:after="240"/>
        <w:contextualSpacing w:val="0"/>
        <w:jc w:val="both"/>
        <w:rPr>
          <w:lang w:val="en-US"/>
        </w:rPr>
      </w:pPr>
      <w:r>
        <w:rPr>
          <w:lang w:val="en-US"/>
        </w:rPr>
        <w:t>Has your jurisdiction ratified the following conventions (</w:t>
      </w:r>
      <w:proofErr w:type="gramStart"/>
      <w:r>
        <w:rPr>
          <w:lang w:val="en-US"/>
        </w:rPr>
        <w:t xml:space="preserve">the </w:t>
      </w:r>
      <w:r>
        <w:rPr>
          <w:b/>
          <w:lang w:val="en-US"/>
        </w:rPr>
        <w:t>‘Conventions’</w:t>
      </w:r>
      <w:r>
        <w:rPr>
          <w:lang w:val="en-US"/>
        </w:rPr>
        <w:t>):</w:t>
      </w:r>
      <w:proofErr w:type="gramEnd"/>
    </w:p>
    <w:p w14:paraId="16E1C51A" w14:textId="2555116B" w:rsidR="00315CE5" w:rsidRDefault="006C3963" w:rsidP="00514F5B">
      <w:pPr>
        <w:pStyle w:val="Paragraphedeliste"/>
        <w:numPr>
          <w:ilvl w:val="4"/>
          <w:numId w:val="4"/>
        </w:numPr>
        <w:ind w:left="1134" w:hanging="567"/>
        <w:jc w:val="both"/>
        <w:rPr>
          <w:lang w:val="en-US"/>
        </w:rPr>
      </w:pPr>
      <w:r w:rsidRPr="00B75A97">
        <w:rPr>
          <w:lang w:val="en-US"/>
        </w:rPr>
        <w:t>International Convention on Civil Liability for Oil Pollution Damage 1969 (</w:t>
      </w:r>
      <w:r w:rsidRPr="00B75A97">
        <w:rPr>
          <w:b/>
          <w:lang w:val="en-US"/>
        </w:rPr>
        <w:t>‘CLC 1969’</w:t>
      </w:r>
      <w:r w:rsidRPr="00B75A97">
        <w:rPr>
          <w:lang w:val="en-US"/>
        </w:rPr>
        <w:t xml:space="preserve">) </w:t>
      </w:r>
    </w:p>
    <w:p w14:paraId="4B89E96C" w14:textId="11D3A28B" w:rsidR="00E4112E" w:rsidRPr="00E4112E" w:rsidRDefault="00E4112E" w:rsidP="00E4112E">
      <w:pPr>
        <w:pStyle w:val="Paragraphedeliste"/>
        <w:ind w:left="1134"/>
        <w:jc w:val="both"/>
        <w:rPr>
          <w:b/>
          <w:bCs/>
          <w:lang w:val="en-US"/>
        </w:rPr>
      </w:pPr>
      <w:r w:rsidRPr="00E4112E">
        <w:rPr>
          <w:b/>
          <w:bCs/>
          <w:lang w:val="en-US"/>
        </w:rPr>
        <w:t>Yes</w:t>
      </w:r>
    </w:p>
    <w:p w14:paraId="1B0BDBF9" w14:textId="77777777" w:rsidR="00E4112E" w:rsidRDefault="006C3963" w:rsidP="00E4112E">
      <w:pPr>
        <w:pStyle w:val="Paragraphedeliste"/>
        <w:numPr>
          <w:ilvl w:val="4"/>
          <w:numId w:val="4"/>
        </w:numPr>
        <w:ind w:left="1134" w:hanging="567"/>
        <w:jc w:val="both"/>
        <w:rPr>
          <w:lang w:val="en-US"/>
        </w:rPr>
      </w:pPr>
      <w:r>
        <w:rPr>
          <w:lang w:val="en-US"/>
        </w:rPr>
        <w:t>1992 Protocol to the CLC 1969 (</w:t>
      </w:r>
      <w:r w:rsidRPr="00FF1071">
        <w:rPr>
          <w:b/>
          <w:lang w:val="en-US"/>
        </w:rPr>
        <w:t>‘CLC 1992’</w:t>
      </w:r>
      <w:r>
        <w:rPr>
          <w:lang w:val="en-US"/>
        </w:rPr>
        <w:t>)</w:t>
      </w:r>
    </w:p>
    <w:p w14:paraId="0F4A9B4F" w14:textId="77191D6A" w:rsidR="00E4112E" w:rsidRPr="001F6BF7" w:rsidRDefault="00E4112E" w:rsidP="001F6BF7">
      <w:pPr>
        <w:pStyle w:val="Paragraphedeliste"/>
        <w:ind w:left="1134"/>
        <w:jc w:val="both"/>
        <w:rPr>
          <w:b/>
          <w:bCs/>
          <w:lang w:val="en-US"/>
        </w:rPr>
      </w:pPr>
      <w:r w:rsidRPr="001F6BF7">
        <w:rPr>
          <w:b/>
          <w:bCs/>
          <w:lang w:val="en-US"/>
        </w:rPr>
        <w:t>YES</w:t>
      </w:r>
    </w:p>
    <w:p w14:paraId="091721EB" w14:textId="198A51DD" w:rsidR="00FF1071" w:rsidRPr="001F6BF7" w:rsidRDefault="006C3963" w:rsidP="00514F5B">
      <w:pPr>
        <w:pStyle w:val="Paragraphedeliste"/>
        <w:numPr>
          <w:ilvl w:val="4"/>
          <w:numId w:val="4"/>
        </w:numPr>
        <w:ind w:left="1134" w:hanging="567"/>
        <w:jc w:val="both"/>
        <w:rPr>
          <w:b/>
          <w:bCs/>
          <w:lang w:val="en-US"/>
        </w:rPr>
      </w:pPr>
      <w:r>
        <w:rPr>
          <w:lang w:val="en-US"/>
        </w:rPr>
        <w:t>Convention on Limitation of Liability for Maritime Claims 1976 (</w:t>
      </w:r>
      <w:r w:rsidRPr="00FF1071">
        <w:rPr>
          <w:b/>
          <w:lang w:val="en-US"/>
        </w:rPr>
        <w:t>‘LLMC  1976’</w:t>
      </w:r>
      <w:r>
        <w:rPr>
          <w:lang w:val="en-US"/>
        </w:rPr>
        <w:t>)</w:t>
      </w:r>
    </w:p>
    <w:p w14:paraId="6A73438E" w14:textId="062DBB7C" w:rsidR="001F6BF7" w:rsidRDefault="001F6BF7" w:rsidP="001F6BF7">
      <w:pPr>
        <w:pStyle w:val="Paragraphedeliste"/>
        <w:ind w:left="1134"/>
        <w:jc w:val="both"/>
        <w:rPr>
          <w:b/>
          <w:bCs/>
          <w:lang w:val="en-US"/>
        </w:rPr>
      </w:pPr>
      <w:r w:rsidRPr="001F6BF7">
        <w:rPr>
          <w:b/>
          <w:bCs/>
          <w:lang w:val="en-US"/>
        </w:rPr>
        <w:t>Yes</w:t>
      </w:r>
    </w:p>
    <w:p w14:paraId="3679E07A" w14:textId="77777777" w:rsidR="001F6BF7" w:rsidRPr="001F6BF7" w:rsidRDefault="006C3963" w:rsidP="001F6BF7">
      <w:pPr>
        <w:pStyle w:val="Paragraphedeliste"/>
        <w:numPr>
          <w:ilvl w:val="4"/>
          <w:numId w:val="4"/>
        </w:numPr>
        <w:ind w:left="1134" w:hanging="567"/>
        <w:jc w:val="both"/>
        <w:rPr>
          <w:b/>
          <w:bCs/>
          <w:lang w:val="en-US"/>
        </w:rPr>
      </w:pPr>
      <w:r w:rsidRPr="001F6BF7">
        <w:rPr>
          <w:lang w:val="en-US"/>
        </w:rPr>
        <w:t>1996 Protocol to the LLMC 1976</w:t>
      </w:r>
      <w:r w:rsidR="001F6BF7">
        <w:rPr>
          <w:lang w:val="en-US"/>
        </w:rPr>
        <w:t>(</w:t>
      </w:r>
      <w:r w:rsidR="001F6BF7" w:rsidRPr="001F6BF7">
        <w:rPr>
          <w:b/>
          <w:bCs/>
          <w:lang w:val="en-US"/>
        </w:rPr>
        <w:t>‘LLMC1996’</w:t>
      </w:r>
      <w:r w:rsidR="001F6BF7">
        <w:rPr>
          <w:lang w:val="en-US"/>
        </w:rPr>
        <w:t>)</w:t>
      </w:r>
    </w:p>
    <w:p w14:paraId="6BB51A13" w14:textId="7CA57BB6" w:rsidR="00315CE5" w:rsidRPr="00674D6D" w:rsidRDefault="001F6BF7" w:rsidP="00674D6D">
      <w:pPr>
        <w:pStyle w:val="Paragraphedeliste"/>
        <w:ind w:left="1134"/>
        <w:jc w:val="both"/>
        <w:rPr>
          <w:b/>
          <w:bCs/>
          <w:lang w:val="en-US"/>
        </w:rPr>
      </w:pPr>
      <w:r w:rsidRPr="00674D6D">
        <w:rPr>
          <w:b/>
          <w:bCs/>
          <w:lang w:val="en-US"/>
        </w:rPr>
        <w:t>Yes</w:t>
      </w:r>
    </w:p>
    <w:p w14:paraId="1DB63407" w14:textId="01433E20" w:rsidR="00315CE5" w:rsidRPr="00674D6D" w:rsidRDefault="00674D6D" w:rsidP="00674D6D">
      <w:pPr>
        <w:pStyle w:val="Paragraphedeliste"/>
        <w:numPr>
          <w:ilvl w:val="4"/>
          <w:numId w:val="4"/>
        </w:numPr>
        <w:ind w:left="1134" w:hanging="567"/>
        <w:jc w:val="both"/>
        <w:rPr>
          <w:b/>
          <w:bCs/>
          <w:lang w:val="en-US"/>
        </w:rPr>
      </w:pPr>
      <w:r>
        <w:rPr>
          <w:lang w:val="en-US"/>
        </w:rPr>
        <w:t xml:space="preserve"> </w:t>
      </w:r>
      <w:r w:rsidR="006C3963" w:rsidRPr="00674D6D">
        <w:rPr>
          <w:lang w:val="en-US"/>
        </w:rPr>
        <w:t>International Convention on Liability and Compensation for Damage in Connection with the Carriage of Hazardous and Noxious Substances by Sea 1996 (</w:t>
      </w:r>
      <w:r w:rsidR="006C3963" w:rsidRPr="00674D6D">
        <w:rPr>
          <w:b/>
          <w:lang w:val="en-US"/>
        </w:rPr>
        <w:t>‘HNS 1996’</w:t>
      </w:r>
      <w:r w:rsidR="006C3963" w:rsidRPr="00674D6D">
        <w:rPr>
          <w:lang w:val="en-US"/>
        </w:rPr>
        <w:t>) </w:t>
      </w:r>
    </w:p>
    <w:p w14:paraId="0BB304A8" w14:textId="0A720E0A" w:rsidR="00674D6D" w:rsidRPr="00674D6D" w:rsidRDefault="00674D6D" w:rsidP="00674D6D">
      <w:pPr>
        <w:pStyle w:val="Paragraphedeliste"/>
        <w:ind w:left="1134"/>
        <w:jc w:val="both"/>
        <w:rPr>
          <w:b/>
          <w:bCs/>
          <w:lang w:val="en-US"/>
        </w:rPr>
      </w:pPr>
      <w:r>
        <w:rPr>
          <w:b/>
          <w:bCs/>
          <w:lang w:val="en-US"/>
        </w:rPr>
        <w:t>N</w:t>
      </w:r>
      <w:r w:rsidRPr="00674D6D">
        <w:rPr>
          <w:b/>
          <w:bCs/>
          <w:lang w:val="en-US"/>
        </w:rPr>
        <w:t>o</w:t>
      </w:r>
    </w:p>
    <w:p w14:paraId="71F6C463" w14:textId="70F20A6D" w:rsidR="00DE567C" w:rsidRDefault="006C3963" w:rsidP="00514F5B">
      <w:pPr>
        <w:pStyle w:val="Paragraphedeliste"/>
        <w:numPr>
          <w:ilvl w:val="4"/>
          <w:numId w:val="4"/>
        </w:numPr>
        <w:spacing w:after="0"/>
        <w:ind w:left="1134" w:hanging="567"/>
        <w:jc w:val="both"/>
        <w:rPr>
          <w:lang w:val="en-US"/>
        </w:rPr>
      </w:pPr>
      <w:r>
        <w:rPr>
          <w:lang w:val="en-US"/>
        </w:rPr>
        <w:t>2010 Protocol to the HNS 1996 (</w:t>
      </w:r>
      <w:r>
        <w:rPr>
          <w:b/>
          <w:lang w:val="en-US"/>
        </w:rPr>
        <w:t>‘HNS 2010’</w:t>
      </w:r>
      <w:r w:rsidRPr="00DE567C">
        <w:rPr>
          <w:lang w:val="en-US"/>
        </w:rPr>
        <w:t>)</w:t>
      </w:r>
    </w:p>
    <w:p w14:paraId="1086E7EB" w14:textId="670FED6D" w:rsidR="00674D6D" w:rsidRPr="00674D6D" w:rsidRDefault="00674D6D" w:rsidP="00674D6D">
      <w:pPr>
        <w:pStyle w:val="Paragraphedeliste"/>
        <w:spacing w:after="0"/>
        <w:ind w:left="1134"/>
        <w:jc w:val="both"/>
        <w:rPr>
          <w:b/>
          <w:bCs/>
          <w:lang w:val="en-US"/>
        </w:rPr>
      </w:pPr>
      <w:r w:rsidRPr="00674D6D">
        <w:rPr>
          <w:b/>
          <w:bCs/>
          <w:lang w:val="en-US"/>
        </w:rPr>
        <w:t>No</w:t>
      </w:r>
    </w:p>
    <w:p w14:paraId="22D8ED9F" w14:textId="059978D3" w:rsidR="00DE567C" w:rsidRPr="00DE567C" w:rsidRDefault="003C56D6" w:rsidP="00674D6D">
      <w:pPr>
        <w:spacing w:after="0"/>
        <w:jc w:val="both"/>
        <w:rPr>
          <w:lang w:val="en-US"/>
        </w:rPr>
      </w:pPr>
    </w:p>
    <w:p w14:paraId="7720B6B7" w14:textId="6BBCDE36" w:rsidR="00202408" w:rsidRPr="00674D6D" w:rsidRDefault="006C3963" w:rsidP="00514F5B">
      <w:pPr>
        <w:pStyle w:val="Paragraphedeliste"/>
        <w:numPr>
          <w:ilvl w:val="4"/>
          <w:numId w:val="4"/>
        </w:numPr>
        <w:ind w:left="1134" w:hanging="567"/>
        <w:jc w:val="both"/>
        <w:rPr>
          <w:b/>
          <w:bCs/>
          <w:lang w:val="en-US"/>
        </w:rPr>
      </w:pPr>
      <w:r>
        <w:rPr>
          <w:lang w:val="en-US"/>
        </w:rPr>
        <w:t>International Convention on Civil Liability for Bunker Oil Pollution Damage 2001 (</w:t>
      </w:r>
      <w:r w:rsidRPr="00837060">
        <w:rPr>
          <w:b/>
          <w:lang w:val="en-US"/>
        </w:rPr>
        <w:t>‘Bunkers Convention’</w:t>
      </w:r>
      <w:r>
        <w:rPr>
          <w:lang w:val="en-US"/>
        </w:rPr>
        <w:t>)</w:t>
      </w:r>
    </w:p>
    <w:p w14:paraId="5B465AED" w14:textId="77777777" w:rsidR="00674D6D" w:rsidRDefault="00674D6D" w:rsidP="00674D6D">
      <w:pPr>
        <w:pStyle w:val="Paragraphedeliste"/>
        <w:ind w:left="1134"/>
        <w:jc w:val="both"/>
        <w:rPr>
          <w:b/>
          <w:bCs/>
          <w:lang w:val="en-US"/>
        </w:rPr>
      </w:pPr>
      <w:r w:rsidRPr="00674D6D">
        <w:rPr>
          <w:b/>
          <w:bCs/>
          <w:lang w:val="en-US"/>
        </w:rPr>
        <w:t>Yes</w:t>
      </w:r>
    </w:p>
    <w:p w14:paraId="3D0E6F09" w14:textId="351B200C" w:rsidR="00315CE5" w:rsidRPr="00674D6D" w:rsidRDefault="006C3963" w:rsidP="00674D6D">
      <w:pPr>
        <w:pStyle w:val="Paragraphedeliste"/>
        <w:numPr>
          <w:ilvl w:val="4"/>
          <w:numId w:val="4"/>
        </w:numPr>
        <w:ind w:left="1134" w:hanging="567"/>
        <w:jc w:val="both"/>
        <w:rPr>
          <w:b/>
          <w:bCs/>
          <w:lang w:val="en-US"/>
        </w:rPr>
      </w:pPr>
      <w:r w:rsidRPr="00674D6D">
        <w:rPr>
          <w:lang w:val="en-US"/>
        </w:rPr>
        <w:t>Nairobi International Convention on the Removal of Wrecks 2007 (</w:t>
      </w:r>
      <w:r w:rsidRPr="00674D6D">
        <w:rPr>
          <w:b/>
          <w:lang w:val="en-US"/>
        </w:rPr>
        <w:t>‘WRC’</w:t>
      </w:r>
      <w:r w:rsidRPr="00674D6D">
        <w:rPr>
          <w:lang w:val="en-US"/>
        </w:rPr>
        <w:t xml:space="preserve">) </w:t>
      </w:r>
    </w:p>
    <w:p w14:paraId="6CA9400D" w14:textId="097A31AE" w:rsidR="00674D6D" w:rsidRPr="00674D6D" w:rsidRDefault="00FE0FAF" w:rsidP="00FE0FAF">
      <w:pPr>
        <w:ind w:left="1134"/>
        <w:jc w:val="both"/>
        <w:rPr>
          <w:b/>
          <w:bCs/>
          <w:lang w:val="en-US"/>
        </w:rPr>
      </w:pPr>
      <w:r>
        <w:rPr>
          <w:b/>
          <w:bCs/>
          <w:lang w:val="en-US"/>
        </w:rPr>
        <w:t>Yes</w:t>
      </w:r>
    </w:p>
    <w:p w14:paraId="6DC67D1D" w14:textId="77777777" w:rsidR="004F5B16" w:rsidRDefault="003C56D6">
      <w:pPr>
        <w:pStyle w:val="Paragraphedeliste"/>
        <w:ind w:left="1134"/>
        <w:jc w:val="both"/>
        <w:rPr>
          <w:lang w:val="en-US"/>
        </w:rPr>
      </w:pPr>
    </w:p>
    <w:p w14:paraId="72BAC15C" w14:textId="32FD76C7" w:rsidR="00DB2E7C" w:rsidRDefault="006C3963" w:rsidP="00514F5B">
      <w:pPr>
        <w:pStyle w:val="Paragraphedeliste"/>
        <w:numPr>
          <w:ilvl w:val="0"/>
          <w:numId w:val="2"/>
        </w:numPr>
        <w:jc w:val="both"/>
        <w:rPr>
          <w:lang w:val="en-GB"/>
        </w:rPr>
      </w:pPr>
      <w:r>
        <w:rPr>
          <w:lang w:val="en-GB"/>
        </w:rPr>
        <w:t>Please indicate whether the a.m. Conventions apply directly in your jurisdiction or whether the stipulations have been translated and incorporated into domestic legislation.</w:t>
      </w:r>
    </w:p>
    <w:p w14:paraId="40C26F9C" w14:textId="77777777" w:rsidR="0063366C" w:rsidRDefault="0063366C" w:rsidP="0063366C">
      <w:pPr>
        <w:pStyle w:val="Paragraphedeliste"/>
        <w:ind w:left="567"/>
        <w:jc w:val="both"/>
        <w:rPr>
          <w:lang w:val="en-GB"/>
        </w:rPr>
      </w:pPr>
    </w:p>
    <w:p w14:paraId="25C7AF21" w14:textId="05E7B34E" w:rsidR="00E369B4" w:rsidRDefault="00E369B4" w:rsidP="00E369B4">
      <w:pPr>
        <w:pStyle w:val="Paragraphedeliste"/>
        <w:ind w:left="567"/>
        <w:jc w:val="both"/>
        <w:rPr>
          <w:b/>
          <w:bCs/>
          <w:lang w:val="en-GB"/>
        </w:rPr>
      </w:pPr>
      <w:r w:rsidRPr="00E369B4">
        <w:rPr>
          <w:b/>
          <w:bCs/>
          <w:lang w:val="en-GB"/>
        </w:rPr>
        <w:t>After their ratification, the</w:t>
      </w:r>
      <w:r w:rsidR="00B77F15">
        <w:rPr>
          <w:b/>
          <w:bCs/>
          <w:lang w:val="en-GB"/>
        </w:rPr>
        <w:t xml:space="preserve"> text of each of the</w:t>
      </w:r>
      <w:r w:rsidRPr="00E369B4">
        <w:rPr>
          <w:b/>
          <w:bCs/>
          <w:lang w:val="en-GB"/>
        </w:rPr>
        <w:t xml:space="preserve"> a.m. Conventions ha</w:t>
      </w:r>
      <w:r w:rsidR="00B77F15">
        <w:rPr>
          <w:b/>
          <w:bCs/>
          <w:lang w:val="en-GB"/>
        </w:rPr>
        <w:t>s</w:t>
      </w:r>
      <w:r w:rsidRPr="00E369B4">
        <w:rPr>
          <w:b/>
          <w:bCs/>
          <w:lang w:val="en-GB"/>
        </w:rPr>
        <w:t xml:space="preserve"> been</w:t>
      </w:r>
      <w:r w:rsidR="00B77F15">
        <w:rPr>
          <w:b/>
          <w:bCs/>
          <w:lang w:val="en-GB"/>
        </w:rPr>
        <w:t xml:space="preserve"> approved</w:t>
      </w:r>
      <w:r w:rsidRPr="00E369B4">
        <w:rPr>
          <w:b/>
          <w:bCs/>
          <w:lang w:val="en-GB"/>
        </w:rPr>
        <w:t xml:space="preserve"> by </w:t>
      </w:r>
      <w:r w:rsidR="00B77F15">
        <w:rPr>
          <w:b/>
          <w:bCs/>
          <w:lang w:val="en-GB"/>
        </w:rPr>
        <w:t xml:space="preserve">a </w:t>
      </w:r>
      <w:r w:rsidRPr="00E369B4">
        <w:rPr>
          <w:b/>
          <w:bCs/>
          <w:lang w:val="en-GB"/>
        </w:rPr>
        <w:t>specific Statute Law</w:t>
      </w:r>
      <w:r w:rsidR="00B77F15">
        <w:rPr>
          <w:b/>
          <w:bCs/>
          <w:lang w:val="en-GB"/>
        </w:rPr>
        <w:t xml:space="preserve"> and published by Decree.</w:t>
      </w:r>
      <w:r w:rsidR="001A0EFC">
        <w:rPr>
          <w:b/>
          <w:bCs/>
          <w:lang w:val="en-GB"/>
        </w:rPr>
        <w:t xml:space="preserve"> They </w:t>
      </w:r>
      <w:r w:rsidR="00CC7FDD">
        <w:rPr>
          <w:b/>
          <w:bCs/>
          <w:lang w:val="en-GB"/>
        </w:rPr>
        <w:t>are directly applicable by our courts.</w:t>
      </w:r>
      <w:r w:rsidR="001A0EFC">
        <w:rPr>
          <w:b/>
          <w:bCs/>
          <w:lang w:val="en-GB"/>
        </w:rPr>
        <w:t xml:space="preserve"> </w:t>
      </w:r>
    </w:p>
    <w:p w14:paraId="15F35724" w14:textId="77777777" w:rsidR="00E369B4" w:rsidRPr="00E369B4" w:rsidRDefault="00E369B4" w:rsidP="00E369B4">
      <w:pPr>
        <w:pStyle w:val="Paragraphedeliste"/>
        <w:ind w:left="567"/>
        <w:jc w:val="both"/>
        <w:rPr>
          <w:b/>
          <w:bCs/>
          <w:lang w:val="en-GB"/>
        </w:rPr>
      </w:pPr>
    </w:p>
    <w:p w14:paraId="3F53F499" w14:textId="7E4079CD" w:rsidR="001F5581" w:rsidRPr="0063366C" w:rsidRDefault="006C3963" w:rsidP="001F5581">
      <w:pPr>
        <w:pStyle w:val="Paragraphedeliste"/>
        <w:numPr>
          <w:ilvl w:val="0"/>
          <w:numId w:val="2"/>
        </w:numPr>
        <w:jc w:val="both"/>
        <w:rPr>
          <w:lang w:val="en-GB"/>
        </w:rPr>
      </w:pPr>
      <w:r w:rsidRPr="00E369B4">
        <w:rPr>
          <w:lang w:val="en-US"/>
        </w:rPr>
        <w:t>Is the wording of domestic provisions incorporating art. V</w:t>
      </w:r>
      <w:r w:rsidR="00A412AB">
        <w:rPr>
          <w:lang w:val="en-US"/>
        </w:rPr>
        <w:t xml:space="preserve"> </w:t>
      </w:r>
      <w:r w:rsidRPr="00E369B4">
        <w:rPr>
          <w:lang w:val="en-US"/>
        </w:rPr>
        <w:t>(2) CLC 1969/art. V</w:t>
      </w:r>
      <w:r w:rsidR="00A412AB">
        <w:rPr>
          <w:lang w:val="en-US"/>
        </w:rPr>
        <w:t xml:space="preserve"> </w:t>
      </w:r>
      <w:r w:rsidRPr="00E369B4">
        <w:rPr>
          <w:lang w:val="en-US"/>
        </w:rPr>
        <w:t>(2) CLC 1992/art. 4 LLMC/</w:t>
      </w:r>
      <w:proofErr w:type="gramStart"/>
      <w:r w:rsidRPr="00E369B4">
        <w:rPr>
          <w:lang w:val="en-US"/>
        </w:rPr>
        <w:t>arts.</w:t>
      </w:r>
      <w:proofErr w:type="gramEnd"/>
      <w:r w:rsidRPr="00E369B4">
        <w:rPr>
          <w:lang w:val="en-US"/>
        </w:rPr>
        <w:t xml:space="preserve"> 7(5) and 9(2) HNS/art. 6 Bunkers Convention/art. 10(2) WRC into domestic legislation different to the original text of the Conventions? </w:t>
      </w:r>
    </w:p>
    <w:p w14:paraId="0A8DAE47" w14:textId="77777777" w:rsidR="0063366C" w:rsidRPr="001F5581" w:rsidRDefault="0063366C" w:rsidP="0063366C">
      <w:pPr>
        <w:pStyle w:val="Paragraphedeliste"/>
        <w:ind w:left="567"/>
        <w:jc w:val="both"/>
        <w:rPr>
          <w:lang w:val="en-GB"/>
        </w:rPr>
      </w:pPr>
    </w:p>
    <w:p w14:paraId="3280B593" w14:textId="17709FD0" w:rsidR="001F5581" w:rsidRDefault="00A412AB" w:rsidP="001F5581">
      <w:pPr>
        <w:pStyle w:val="Paragraphedeliste"/>
        <w:ind w:left="567"/>
        <w:jc w:val="both"/>
        <w:rPr>
          <w:b/>
          <w:bCs/>
          <w:lang w:val="en-US"/>
        </w:rPr>
      </w:pPr>
      <w:r>
        <w:rPr>
          <w:b/>
          <w:bCs/>
          <w:lang w:val="en-US"/>
        </w:rPr>
        <w:t xml:space="preserve">The </w:t>
      </w:r>
      <w:r w:rsidR="00891C2F">
        <w:rPr>
          <w:b/>
          <w:bCs/>
          <w:lang w:val="en-US"/>
        </w:rPr>
        <w:t xml:space="preserve">wording of </w:t>
      </w:r>
      <w:r w:rsidR="00FC5A0F">
        <w:rPr>
          <w:b/>
          <w:bCs/>
          <w:lang w:val="en-US"/>
        </w:rPr>
        <w:t>a</w:t>
      </w:r>
      <w:r w:rsidR="00891C2F">
        <w:rPr>
          <w:b/>
          <w:bCs/>
          <w:lang w:val="en-US"/>
        </w:rPr>
        <w:t>rticle L.5121-3</w:t>
      </w:r>
      <w:r w:rsidR="00FC5A0F">
        <w:rPr>
          <w:b/>
          <w:bCs/>
          <w:lang w:val="en-US"/>
        </w:rPr>
        <w:t xml:space="preserve"> of the code of Transport is the same as that of Article 4 of the LLMC.</w:t>
      </w:r>
    </w:p>
    <w:p w14:paraId="20850916" w14:textId="1F120334" w:rsidR="00FC5A0F" w:rsidRDefault="00FC5A0F" w:rsidP="001F5581">
      <w:pPr>
        <w:pStyle w:val="Paragraphedeliste"/>
        <w:ind w:left="567"/>
        <w:jc w:val="both"/>
        <w:rPr>
          <w:b/>
          <w:bCs/>
          <w:lang w:val="en-US"/>
        </w:rPr>
      </w:pPr>
      <w:r>
        <w:rPr>
          <w:b/>
          <w:bCs/>
          <w:lang w:val="en-US"/>
        </w:rPr>
        <w:t xml:space="preserve">article L.5122-27 of the code of transport provides that the conditions permitting the shipowner to limit its liability are these of article </w:t>
      </w:r>
      <w:r w:rsidR="00057AB3">
        <w:rPr>
          <w:b/>
          <w:bCs/>
          <w:lang w:val="en-US"/>
        </w:rPr>
        <w:t>V (2) of the CLC 1969 and 1992.</w:t>
      </w:r>
    </w:p>
    <w:p w14:paraId="1111A867" w14:textId="3FB97635" w:rsidR="009B57F8" w:rsidRDefault="009B57F8" w:rsidP="001F5581">
      <w:pPr>
        <w:pStyle w:val="Paragraphedeliste"/>
        <w:ind w:left="567"/>
        <w:jc w:val="both"/>
        <w:rPr>
          <w:b/>
          <w:bCs/>
          <w:lang w:val="en-US"/>
        </w:rPr>
      </w:pPr>
      <w:r>
        <w:rPr>
          <w:b/>
          <w:bCs/>
          <w:lang w:val="en-US"/>
        </w:rPr>
        <w:t xml:space="preserve">There is no specific </w:t>
      </w:r>
      <w:r w:rsidR="00022157">
        <w:rPr>
          <w:b/>
          <w:bCs/>
          <w:lang w:val="en-US"/>
        </w:rPr>
        <w:t>legislation in France in respect of the carriage of hazardous and noxious substances by sea.</w:t>
      </w:r>
    </w:p>
    <w:p w14:paraId="48F8A50C" w14:textId="05D274C4" w:rsidR="00022157" w:rsidRDefault="00022157" w:rsidP="001F5581">
      <w:pPr>
        <w:pStyle w:val="Paragraphedeliste"/>
        <w:ind w:left="567"/>
        <w:jc w:val="both"/>
        <w:rPr>
          <w:b/>
          <w:bCs/>
          <w:lang w:val="en-US"/>
        </w:rPr>
      </w:pPr>
      <w:r>
        <w:rPr>
          <w:b/>
          <w:bCs/>
          <w:lang w:val="en-US"/>
        </w:rPr>
        <w:t>The bunkers convention, approved by a law of 2 July 2010 and published by a Decree of 20 April 2011, has no equivalent in our domestic legislatio</w:t>
      </w:r>
      <w:r w:rsidR="00E90DB5">
        <w:rPr>
          <w:b/>
          <w:bCs/>
          <w:lang w:val="en-US"/>
        </w:rPr>
        <w:t>n.</w:t>
      </w:r>
    </w:p>
    <w:p w14:paraId="3D8C8882" w14:textId="77777777" w:rsidR="00FC5A0F" w:rsidRDefault="00FC5A0F" w:rsidP="001F5581">
      <w:pPr>
        <w:pStyle w:val="Paragraphedeliste"/>
        <w:ind w:left="567"/>
        <w:jc w:val="both"/>
        <w:rPr>
          <w:b/>
          <w:bCs/>
          <w:lang w:val="en-US"/>
        </w:rPr>
      </w:pPr>
    </w:p>
    <w:p w14:paraId="72FEF37C" w14:textId="534A2135" w:rsidR="001F5581" w:rsidRPr="0060793F" w:rsidRDefault="001F5581" w:rsidP="0060793F">
      <w:pPr>
        <w:pStyle w:val="Paragraphedeliste"/>
        <w:ind w:left="567"/>
        <w:jc w:val="both"/>
        <w:rPr>
          <w:lang w:val="en-US"/>
        </w:rPr>
      </w:pPr>
    </w:p>
    <w:p w14:paraId="45A61FA6" w14:textId="77777777" w:rsidR="001F5581" w:rsidRPr="001F5581" w:rsidRDefault="001F5581" w:rsidP="001F5581">
      <w:pPr>
        <w:jc w:val="both"/>
        <w:rPr>
          <w:b/>
          <w:bCs/>
          <w:lang w:val="en-GB"/>
        </w:rPr>
      </w:pPr>
    </w:p>
    <w:p w14:paraId="7DFD7370" w14:textId="0D9D3F36" w:rsidR="0060793F" w:rsidRDefault="001F5581" w:rsidP="0060793F">
      <w:pPr>
        <w:pStyle w:val="Paragraphedeliste"/>
        <w:numPr>
          <w:ilvl w:val="0"/>
          <w:numId w:val="2"/>
        </w:numPr>
        <w:jc w:val="both"/>
        <w:rPr>
          <w:lang w:val="en-GB"/>
        </w:rPr>
      </w:pPr>
      <w:r>
        <w:rPr>
          <w:lang w:val="en-GB"/>
        </w:rPr>
        <w:t xml:space="preserve">If your jurisdiction has not ratified the Conventions, does your jurisdiction recognise a right of limitation of liability for claims that would otherwise fall under the Conventions </w:t>
      </w:r>
      <w:proofErr w:type="gramStart"/>
      <w:r w:rsidR="00180A59">
        <w:rPr>
          <w:lang w:val="en-GB"/>
        </w:rPr>
        <w:t>(</w:t>
      </w:r>
      <w:r>
        <w:rPr>
          <w:lang w:val="en-GB"/>
        </w:rPr>
        <w:t xml:space="preserve"> </w:t>
      </w:r>
      <w:r w:rsidRPr="0060793F">
        <w:rPr>
          <w:lang w:val="en-GB"/>
        </w:rPr>
        <w:t>the</w:t>
      </w:r>
      <w:proofErr w:type="gramEnd"/>
      <w:r w:rsidR="0060793F">
        <w:rPr>
          <w:lang w:val="en-GB"/>
        </w:rPr>
        <w:t xml:space="preserve"> </w:t>
      </w:r>
      <w:r w:rsidRPr="0060793F">
        <w:rPr>
          <w:b/>
          <w:bCs/>
          <w:lang w:val="en-GB"/>
        </w:rPr>
        <w:t xml:space="preserve">’Equivalent </w:t>
      </w:r>
      <w:r w:rsidR="0060793F" w:rsidRPr="0060793F">
        <w:rPr>
          <w:b/>
          <w:bCs/>
          <w:lang w:val="en-GB"/>
        </w:rPr>
        <w:t>Claims’</w:t>
      </w:r>
      <w:r w:rsidR="0060793F" w:rsidRPr="0060793F">
        <w:rPr>
          <w:lang w:val="en-GB"/>
        </w:rPr>
        <w:t>)</w:t>
      </w:r>
    </w:p>
    <w:p w14:paraId="4F7D9508" w14:textId="610DD11A" w:rsidR="0060793F" w:rsidRDefault="0060793F" w:rsidP="0060793F">
      <w:pPr>
        <w:jc w:val="both"/>
        <w:rPr>
          <w:lang w:val="en-GB"/>
        </w:rPr>
      </w:pPr>
      <w:r w:rsidRPr="0060793F">
        <w:rPr>
          <w:lang w:val="en-GB"/>
        </w:rPr>
        <w:t>N/</w:t>
      </w:r>
      <w:r>
        <w:rPr>
          <w:lang w:val="en-GB"/>
        </w:rPr>
        <w:t>A</w:t>
      </w:r>
    </w:p>
    <w:p w14:paraId="3BFB1FDB" w14:textId="77777777" w:rsidR="0060793F" w:rsidRPr="0060793F" w:rsidRDefault="0060793F" w:rsidP="0060793F">
      <w:pPr>
        <w:jc w:val="both"/>
        <w:rPr>
          <w:lang w:val="en-GB"/>
        </w:rPr>
      </w:pPr>
    </w:p>
    <w:p w14:paraId="16C07CDF" w14:textId="35B11FB2" w:rsidR="0060793F" w:rsidRDefault="0060793F" w:rsidP="00E369B4">
      <w:pPr>
        <w:pStyle w:val="Paragraphedeliste"/>
        <w:numPr>
          <w:ilvl w:val="0"/>
          <w:numId w:val="2"/>
        </w:numPr>
        <w:jc w:val="both"/>
        <w:rPr>
          <w:lang w:val="en-GB"/>
        </w:rPr>
      </w:pPr>
      <w:r>
        <w:rPr>
          <w:lang w:val="en-GB"/>
        </w:rPr>
        <w:t>Are there any general principle of law in your jurisdiction that may serve to break the right to limitation otherwise than through the specific provisions contained in the Conventions (</w:t>
      </w:r>
      <w:proofErr w:type="spellStart"/>
      <w:r>
        <w:rPr>
          <w:lang w:val="en-GB"/>
        </w:rPr>
        <w:t>e.g</w:t>
      </w:r>
      <w:proofErr w:type="spellEnd"/>
      <w:r>
        <w:rPr>
          <w:lang w:val="en-GB"/>
        </w:rPr>
        <w:t xml:space="preserve"> abuse of rights)?</w:t>
      </w:r>
    </w:p>
    <w:p w14:paraId="6719B844" w14:textId="45873DEA" w:rsidR="000E76D6" w:rsidRDefault="00022157" w:rsidP="000E76D6">
      <w:pPr>
        <w:ind w:left="567"/>
        <w:jc w:val="both"/>
        <w:rPr>
          <w:b/>
          <w:bCs/>
          <w:lang w:val="en-GB"/>
        </w:rPr>
      </w:pPr>
      <w:r>
        <w:rPr>
          <w:b/>
          <w:bCs/>
          <w:lang w:val="en-GB"/>
        </w:rPr>
        <w:t xml:space="preserve">There are specific provisions in our transportation and maritime domestic law concerning the limitation of liability but, as mentioned at point 3 above, the wording of the provisions </w:t>
      </w:r>
      <w:r w:rsidR="0052775A">
        <w:rPr>
          <w:b/>
          <w:bCs/>
          <w:lang w:val="en-GB"/>
        </w:rPr>
        <w:t>barring the owner from limitation now is the same as that of the a.m. conventions.</w:t>
      </w:r>
    </w:p>
    <w:p w14:paraId="5FCB63B6" w14:textId="18BD1FA7" w:rsidR="00481346" w:rsidRDefault="00481346" w:rsidP="000E76D6">
      <w:pPr>
        <w:ind w:left="567"/>
        <w:jc w:val="both"/>
        <w:rPr>
          <w:b/>
          <w:bCs/>
          <w:lang w:val="en-GB"/>
        </w:rPr>
      </w:pPr>
    </w:p>
    <w:p w14:paraId="088DF07F" w14:textId="5EFEA40F" w:rsidR="00481346" w:rsidRDefault="00481346" w:rsidP="0063366C">
      <w:pPr>
        <w:pStyle w:val="Paragraphedeliste"/>
        <w:numPr>
          <w:ilvl w:val="0"/>
          <w:numId w:val="3"/>
        </w:numPr>
        <w:jc w:val="both"/>
        <w:rPr>
          <w:b/>
          <w:bCs/>
          <w:lang w:val="en-GB"/>
        </w:rPr>
      </w:pPr>
      <w:r>
        <w:rPr>
          <w:b/>
          <w:bCs/>
          <w:lang w:val="en-GB"/>
        </w:rPr>
        <w:t>‘’ Personal act or omission’’—Attribution to the person liable</w:t>
      </w:r>
    </w:p>
    <w:p w14:paraId="69E8AC29" w14:textId="77777777" w:rsidR="0063366C" w:rsidRPr="0063366C" w:rsidRDefault="0063366C" w:rsidP="0063366C">
      <w:pPr>
        <w:jc w:val="both"/>
        <w:rPr>
          <w:b/>
          <w:bCs/>
          <w:lang w:val="en-GB"/>
        </w:rPr>
      </w:pPr>
    </w:p>
    <w:p w14:paraId="6E1C2BBE" w14:textId="3633206D" w:rsidR="0085565A" w:rsidRDefault="006C3963" w:rsidP="00481346">
      <w:pPr>
        <w:pStyle w:val="Paragraphedeliste"/>
        <w:numPr>
          <w:ilvl w:val="0"/>
          <w:numId w:val="2"/>
        </w:numPr>
        <w:rPr>
          <w:lang w:val="en-US"/>
        </w:rPr>
      </w:pPr>
      <w:r w:rsidRPr="00481346">
        <w:rPr>
          <w:lang w:val="en-US"/>
        </w:rPr>
        <w:t>How is the requirement for a “personal act or omission” in art. V</w:t>
      </w:r>
      <w:r w:rsidR="00E90DB5">
        <w:rPr>
          <w:lang w:val="en-US"/>
        </w:rPr>
        <w:t xml:space="preserve"> </w:t>
      </w:r>
      <w:r w:rsidRPr="00481346">
        <w:rPr>
          <w:lang w:val="en-US"/>
        </w:rPr>
        <w:t xml:space="preserve">(2) CLC 1992, art. 4 LLMC, and </w:t>
      </w:r>
      <w:proofErr w:type="gramStart"/>
      <w:r w:rsidRPr="00481346">
        <w:rPr>
          <w:lang w:val="en-US"/>
        </w:rPr>
        <w:t>arts.</w:t>
      </w:r>
      <w:proofErr w:type="gramEnd"/>
      <w:r w:rsidRPr="00481346">
        <w:rPr>
          <w:lang w:val="en-US"/>
        </w:rPr>
        <w:t xml:space="preserve"> 7(5) and 9(2) HNS interpreted in your jurisdiction?</w:t>
      </w:r>
    </w:p>
    <w:p w14:paraId="626FCD7D" w14:textId="3643DB8A" w:rsidR="00E90DB5" w:rsidRPr="000264B3" w:rsidRDefault="00E90DB5" w:rsidP="00E90DB5">
      <w:pPr>
        <w:ind w:left="567"/>
        <w:rPr>
          <w:b/>
          <w:bCs/>
          <w:lang w:val="en-US"/>
        </w:rPr>
      </w:pPr>
      <w:r w:rsidRPr="000264B3">
        <w:rPr>
          <w:b/>
          <w:bCs/>
          <w:lang w:val="en-US"/>
        </w:rPr>
        <w:t>The decisions of our courts do not specifically refer to the above wording and rather rely on the rest of the text of the article which, as we will explain it hereinafter in our responses to the questions of paragraph III, is qualified as ‘’</w:t>
      </w:r>
      <w:proofErr w:type="spellStart"/>
      <w:r w:rsidRPr="000264B3">
        <w:rPr>
          <w:b/>
          <w:bCs/>
          <w:lang w:val="en-US"/>
        </w:rPr>
        <w:t>faute</w:t>
      </w:r>
      <w:proofErr w:type="spellEnd"/>
      <w:r w:rsidRPr="000264B3">
        <w:rPr>
          <w:b/>
          <w:bCs/>
          <w:lang w:val="en-US"/>
        </w:rPr>
        <w:t xml:space="preserve"> inexcusable’’</w:t>
      </w:r>
      <w:r w:rsidR="000264B3" w:rsidRPr="000264B3">
        <w:rPr>
          <w:b/>
          <w:bCs/>
          <w:lang w:val="en-US"/>
        </w:rPr>
        <w:t xml:space="preserve"> </w:t>
      </w:r>
      <w:r w:rsidRPr="000264B3">
        <w:rPr>
          <w:b/>
          <w:bCs/>
          <w:lang w:val="en-US"/>
        </w:rPr>
        <w:t>(</w:t>
      </w:r>
      <w:proofErr w:type="spellStart"/>
      <w:r w:rsidRPr="000264B3">
        <w:rPr>
          <w:b/>
          <w:bCs/>
          <w:lang w:val="en-US"/>
        </w:rPr>
        <w:t>willfull</w:t>
      </w:r>
      <w:proofErr w:type="spellEnd"/>
      <w:r w:rsidRPr="000264B3">
        <w:rPr>
          <w:b/>
          <w:bCs/>
          <w:lang w:val="en-US"/>
        </w:rPr>
        <w:t xml:space="preserve"> misconduct).</w:t>
      </w:r>
    </w:p>
    <w:p w14:paraId="22DEB8FF" w14:textId="1E5E4FF9" w:rsidR="0063366C" w:rsidRDefault="000264B3" w:rsidP="00E90DB5">
      <w:pPr>
        <w:ind w:left="567"/>
        <w:rPr>
          <w:b/>
          <w:bCs/>
          <w:lang w:val="en-US"/>
        </w:rPr>
      </w:pPr>
      <w:r w:rsidRPr="000264B3">
        <w:rPr>
          <w:b/>
          <w:bCs/>
          <w:lang w:val="en-US"/>
        </w:rPr>
        <w:t>One decision, however, rendered by</w:t>
      </w:r>
      <w:r w:rsidR="0063366C">
        <w:rPr>
          <w:b/>
          <w:bCs/>
          <w:lang w:val="en-US"/>
        </w:rPr>
        <w:t xml:space="preserve"> the </w:t>
      </w:r>
      <w:proofErr w:type="spellStart"/>
      <w:r w:rsidR="0063366C">
        <w:rPr>
          <w:b/>
          <w:bCs/>
          <w:lang w:val="en-US"/>
        </w:rPr>
        <w:t>Cour</w:t>
      </w:r>
      <w:proofErr w:type="spellEnd"/>
      <w:r w:rsidR="0063366C">
        <w:rPr>
          <w:b/>
          <w:bCs/>
          <w:lang w:val="en-US"/>
        </w:rPr>
        <w:t xml:space="preserve"> de cassation on 20 May 1997</w:t>
      </w:r>
      <w:r w:rsidR="0076390A">
        <w:rPr>
          <w:b/>
          <w:bCs/>
          <w:lang w:val="en-US"/>
        </w:rPr>
        <w:t xml:space="preserve"> in the ‘’Johanna- </w:t>
      </w:r>
      <w:proofErr w:type="spellStart"/>
      <w:r w:rsidR="0076390A">
        <w:rPr>
          <w:b/>
          <w:bCs/>
          <w:lang w:val="en-US"/>
        </w:rPr>
        <w:t>Hendrika</w:t>
      </w:r>
      <w:proofErr w:type="spellEnd"/>
      <w:r w:rsidR="0076390A">
        <w:rPr>
          <w:b/>
          <w:bCs/>
          <w:lang w:val="en-US"/>
        </w:rPr>
        <w:t>’’held that the personal and intentional or inexcusable fault</w:t>
      </w:r>
      <w:r w:rsidR="00234768">
        <w:rPr>
          <w:b/>
          <w:bCs/>
          <w:lang w:val="en-US"/>
        </w:rPr>
        <w:t>,</w:t>
      </w:r>
      <w:r w:rsidR="0076390A">
        <w:rPr>
          <w:b/>
          <w:bCs/>
          <w:lang w:val="en-US"/>
        </w:rPr>
        <w:t xml:space="preserve"> barring limitation</w:t>
      </w:r>
      <w:r w:rsidR="00234768">
        <w:rPr>
          <w:b/>
          <w:bCs/>
          <w:lang w:val="en-US"/>
        </w:rPr>
        <w:t>,</w:t>
      </w:r>
      <w:r w:rsidR="0076390A">
        <w:rPr>
          <w:b/>
          <w:bCs/>
          <w:lang w:val="en-US"/>
        </w:rPr>
        <w:t xml:space="preserve"> must be that of the owner of the ship as exclusively</w:t>
      </w:r>
      <w:r w:rsidR="00234768">
        <w:rPr>
          <w:b/>
          <w:bCs/>
          <w:lang w:val="en-US"/>
        </w:rPr>
        <w:t xml:space="preserve"> stated </w:t>
      </w:r>
      <w:proofErr w:type="spellStart"/>
      <w:r w:rsidR="00234768">
        <w:rPr>
          <w:b/>
          <w:bCs/>
          <w:lang w:val="en-US"/>
        </w:rPr>
        <w:t>bythe</w:t>
      </w:r>
      <w:proofErr w:type="spellEnd"/>
      <w:r w:rsidR="00234768">
        <w:rPr>
          <w:b/>
          <w:bCs/>
          <w:lang w:val="en-US"/>
        </w:rPr>
        <w:t xml:space="preserve"> </w:t>
      </w:r>
      <w:proofErr w:type="spellStart"/>
      <w:r w:rsidR="00234768">
        <w:rPr>
          <w:b/>
          <w:bCs/>
          <w:lang w:val="en-US"/>
        </w:rPr>
        <w:t>LLMCand</w:t>
      </w:r>
      <w:proofErr w:type="spellEnd"/>
      <w:r w:rsidR="00234768">
        <w:rPr>
          <w:b/>
          <w:bCs/>
          <w:lang w:val="en-US"/>
        </w:rPr>
        <w:t xml:space="preserve"> not that of the master.</w:t>
      </w:r>
    </w:p>
    <w:p w14:paraId="58269046" w14:textId="485989B9" w:rsidR="00E90DB5" w:rsidRDefault="00234768" w:rsidP="00234768">
      <w:pPr>
        <w:ind w:left="567"/>
        <w:rPr>
          <w:b/>
          <w:bCs/>
          <w:lang w:val="en-US"/>
        </w:rPr>
      </w:pPr>
      <w:r>
        <w:rPr>
          <w:b/>
          <w:bCs/>
          <w:lang w:val="en-US"/>
        </w:rPr>
        <w:t>Another more recent decision rendered by</w:t>
      </w:r>
      <w:r w:rsidR="000264B3" w:rsidRPr="000264B3">
        <w:rPr>
          <w:b/>
          <w:bCs/>
          <w:lang w:val="en-US"/>
        </w:rPr>
        <w:t xml:space="preserve"> the court of appeal of Bordeaux on 1 March 2013 in the ‘’</w:t>
      </w:r>
      <w:proofErr w:type="spellStart"/>
      <w:r w:rsidR="000264B3" w:rsidRPr="000264B3">
        <w:rPr>
          <w:b/>
          <w:bCs/>
          <w:lang w:val="en-US"/>
        </w:rPr>
        <w:t>Heidberg</w:t>
      </w:r>
      <w:proofErr w:type="spellEnd"/>
      <w:r w:rsidR="000264B3" w:rsidRPr="000264B3">
        <w:rPr>
          <w:b/>
          <w:bCs/>
          <w:lang w:val="en-US"/>
        </w:rPr>
        <w:t>’’, h</w:t>
      </w:r>
      <w:r>
        <w:rPr>
          <w:b/>
          <w:bCs/>
          <w:lang w:val="en-US"/>
        </w:rPr>
        <w:t>eld</w:t>
      </w:r>
      <w:r w:rsidR="000264B3" w:rsidRPr="000264B3">
        <w:rPr>
          <w:b/>
          <w:bCs/>
          <w:lang w:val="en-US"/>
        </w:rPr>
        <w:t>, in the framework of the LLMC, that ‘’ the person requesting the limitation</w:t>
      </w:r>
      <w:r w:rsidR="00D30089">
        <w:rPr>
          <w:b/>
          <w:bCs/>
          <w:lang w:val="en-US"/>
        </w:rPr>
        <w:t xml:space="preserve"> to be broken</w:t>
      </w:r>
      <w:r w:rsidR="000264B3" w:rsidRPr="000264B3">
        <w:rPr>
          <w:b/>
          <w:bCs/>
          <w:lang w:val="en-US"/>
        </w:rPr>
        <w:t>, must establish the existence of a fact or of an omission of the owner and not of the master…’’</w:t>
      </w:r>
    </w:p>
    <w:p w14:paraId="2E056C6E" w14:textId="211D72DB" w:rsidR="00234768" w:rsidRDefault="00234768" w:rsidP="00234768">
      <w:pPr>
        <w:ind w:left="567"/>
        <w:rPr>
          <w:b/>
          <w:bCs/>
          <w:lang w:val="en-US"/>
        </w:rPr>
      </w:pPr>
    </w:p>
    <w:p w14:paraId="49C71BBF" w14:textId="7F4FD509" w:rsidR="004D1B21" w:rsidRPr="00234768" w:rsidRDefault="006C3963" w:rsidP="00234768">
      <w:pPr>
        <w:pStyle w:val="Paragraphedeliste"/>
        <w:numPr>
          <w:ilvl w:val="0"/>
          <w:numId w:val="2"/>
        </w:numPr>
        <w:rPr>
          <w:b/>
          <w:bCs/>
          <w:lang w:val="en-US"/>
        </w:rPr>
      </w:pPr>
      <w:r w:rsidRPr="00234768">
        <w:rPr>
          <w:lang w:val="en-US"/>
        </w:rPr>
        <w:t>Where the party entitled to limitation is an entity, what are the requirements for attributing an act or omission to the party entitled to limitation?</w:t>
      </w:r>
    </w:p>
    <w:p w14:paraId="34ACC32A" w14:textId="77777777" w:rsidR="00234768" w:rsidRPr="00467BF0" w:rsidRDefault="00234768" w:rsidP="00234768">
      <w:pPr>
        <w:pStyle w:val="Paragraphedeliste"/>
        <w:ind w:left="567"/>
        <w:rPr>
          <w:b/>
          <w:bCs/>
          <w:lang w:val="en-US"/>
        </w:rPr>
      </w:pPr>
    </w:p>
    <w:p w14:paraId="59AB6C0D" w14:textId="47BEF787" w:rsidR="00234768" w:rsidRPr="00467BF0" w:rsidRDefault="00234768" w:rsidP="00234768">
      <w:pPr>
        <w:spacing w:after="240"/>
        <w:jc w:val="both"/>
        <w:rPr>
          <w:b/>
          <w:bCs/>
          <w:lang w:val="en-US"/>
        </w:rPr>
      </w:pPr>
      <w:r w:rsidRPr="00467BF0">
        <w:rPr>
          <w:b/>
          <w:bCs/>
          <w:lang w:val="en-US"/>
        </w:rPr>
        <w:t xml:space="preserve">      We are not sure what is meant by ‘’entity’’!   But the question to know who is the owner in the sense of the </w:t>
      </w:r>
      <w:proofErr w:type="spellStart"/>
      <w:r w:rsidRPr="00467BF0">
        <w:rPr>
          <w:b/>
          <w:bCs/>
          <w:lang w:val="en-US"/>
        </w:rPr>
        <w:t>a.m</w:t>
      </w:r>
      <w:proofErr w:type="spellEnd"/>
      <w:r w:rsidRPr="00467BF0">
        <w:rPr>
          <w:b/>
          <w:bCs/>
          <w:lang w:val="en-US"/>
        </w:rPr>
        <w:t xml:space="preserve"> conventions (a company, a private individual or an entity) who claims limitation, is left at the court’ s discretion.</w:t>
      </w:r>
    </w:p>
    <w:p w14:paraId="28CDFD33" w14:textId="77777777" w:rsidR="00481346" w:rsidRPr="00481346" w:rsidRDefault="00481346" w:rsidP="00481346">
      <w:pPr>
        <w:spacing w:after="240"/>
        <w:jc w:val="both"/>
        <w:rPr>
          <w:lang w:val="en-US"/>
        </w:rPr>
      </w:pPr>
    </w:p>
    <w:p w14:paraId="768054D0" w14:textId="77777777" w:rsidR="00864D4B" w:rsidRDefault="006C3963" w:rsidP="00514F5B">
      <w:pPr>
        <w:pStyle w:val="Paragraphedeliste"/>
        <w:numPr>
          <w:ilvl w:val="0"/>
          <w:numId w:val="2"/>
        </w:numPr>
        <w:spacing w:after="240"/>
        <w:contextualSpacing w:val="0"/>
        <w:jc w:val="both"/>
        <w:rPr>
          <w:lang w:val="en-US"/>
        </w:rPr>
      </w:pPr>
      <w:r>
        <w:rPr>
          <w:lang w:val="en-US"/>
        </w:rPr>
        <w:t>Are there court decisions or legal texts in your jurisdiction where the right to limitation under the Conventions or equivalent domestic legislation has been broken (or where it has been submitted that such right should be broken), respectively confirmed (or where it has been submitted that such right should be confirmed), for acts/omissions of:</w:t>
      </w:r>
    </w:p>
    <w:p w14:paraId="34429504" w14:textId="77777777" w:rsidR="00864D4B" w:rsidRDefault="006C3963" w:rsidP="00514F5B">
      <w:pPr>
        <w:pStyle w:val="Paragraphedeliste"/>
        <w:numPr>
          <w:ilvl w:val="1"/>
          <w:numId w:val="2"/>
        </w:numPr>
        <w:spacing w:after="240"/>
        <w:contextualSpacing w:val="0"/>
        <w:jc w:val="both"/>
        <w:rPr>
          <w:lang w:val="en-US"/>
        </w:rPr>
      </w:pPr>
      <w:r>
        <w:rPr>
          <w:lang w:val="en-US"/>
        </w:rPr>
        <w:t>The Master?</w:t>
      </w:r>
    </w:p>
    <w:p w14:paraId="795B9231" w14:textId="77777777" w:rsidR="00864D4B" w:rsidRDefault="006C3963" w:rsidP="00514F5B">
      <w:pPr>
        <w:pStyle w:val="Paragraphedeliste"/>
        <w:numPr>
          <w:ilvl w:val="1"/>
          <w:numId w:val="2"/>
        </w:numPr>
        <w:spacing w:after="240"/>
        <w:contextualSpacing w:val="0"/>
        <w:jc w:val="both"/>
        <w:rPr>
          <w:lang w:val="en-US"/>
        </w:rPr>
      </w:pPr>
      <w:r>
        <w:rPr>
          <w:lang w:val="en-US"/>
        </w:rPr>
        <w:t>Crew members?</w:t>
      </w:r>
    </w:p>
    <w:p w14:paraId="4904568A" w14:textId="77777777" w:rsidR="00864D4B" w:rsidRDefault="006C3963" w:rsidP="00514F5B">
      <w:pPr>
        <w:pStyle w:val="Paragraphedeliste"/>
        <w:numPr>
          <w:ilvl w:val="1"/>
          <w:numId w:val="2"/>
        </w:numPr>
        <w:spacing w:after="240"/>
        <w:contextualSpacing w:val="0"/>
        <w:jc w:val="both"/>
        <w:rPr>
          <w:lang w:val="en-US"/>
        </w:rPr>
      </w:pPr>
      <w:r>
        <w:rPr>
          <w:lang w:val="en-US"/>
        </w:rPr>
        <w:t>The Designated Person Ashore/Company Security Officer?</w:t>
      </w:r>
    </w:p>
    <w:p w14:paraId="4678C5F9" w14:textId="77777777" w:rsidR="00D455BC" w:rsidRDefault="006C3963" w:rsidP="00514F5B">
      <w:pPr>
        <w:pStyle w:val="Paragraphedeliste"/>
        <w:numPr>
          <w:ilvl w:val="1"/>
          <w:numId w:val="2"/>
        </w:numPr>
        <w:spacing w:after="240"/>
        <w:contextualSpacing w:val="0"/>
        <w:jc w:val="both"/>
        <w:rPr>
          <w:lang w:val="en-US"/>
        </w:rPr>
      </w:pPr>
      <w:r>
        <w:rPr>
          <w:lang w:val="en-US"/>
        </w:rPr>
        <w:t>Other individuals within the entity entitled to limitation?</w:t>
      </w:r>
    </w:p>
    <w:p w14:paraId="224FB322" w14:textId="6954C82F" w:rsidR="00864D4B" w:rsidRDefault="006C3963" w:rsidP="00514F5B">
      <w:pPr>
        <w:pStyle w:val="Paragraphedeliste"/>
        <w:numPr>
          <w:ilvl w:val="1"/>
          <w:numId w:val="2"/>
        </w:numPr>
        <w:spacing w:after="240"/>
        <w:contextualSpacing w:val="0"/>
        <w:jc w:val="both"/>
        <w:rPr>
          <w:lang w:val="en-US"/>
        </w:rPr>
      </w:pPr>
      <w:r>
        <w:rPr>
          <w:lang w:val="en-US"/>
        </w:rPr>
        <w:t>Third-party contractors (e.g. agents of the vessel)?</w:t>
      </w:r>
    </w:p>
    <w:p w14:paraId="7490A0EB" w14:textId="5BFB5C8D" w:rsidR="007907FB" w:rsidRPr="007907FB" w:rsidRDefault="007907FB" w:rsidP="007907FB">
      <w:pPr>
        <w:spacing w:after="240"/>
        <w:jc w:val="both"/>
        <w:rPr>
          <w:b/>
          <w:bCs/>
          <w:lang w:val="en-US"/>
        </w:rPr>
      </w:pPr>
      <w:r w:rsidRPr="007907FB">
        <w:rPr>
          <w:b/>
          <w:bCs/>
          <w:lang w:val="en-US"/>
        </w:rPr>
        <w:t xml:space="preserve">           No</w:t>
      </w:r>
    </w:p>
    <w:p w14:paraId="6697D260" w14:textId="77777777" w:rsidR="009C2DC2" w:rsidRDefault="006C3963" w:rsidP="00514F5B">
      <w:pPr>
        <w:spacing w:after="240"/>
        <w:ind w:left="567"/>
        <w:jc w:val="both"/>
        <w:rPr>
          <w:lang w:val="en-US"/>
        </w:rPr>
      </w:pPr>
      <w:r>
        <w:rPr>
          <w:lang w:val="en-US"/>
        </w:rPr>
        <w:t>If your answer is in the affirmative in any of the above questions, please briefly describe (a) the relevant facts; and (b) the rationale for the attribution of the relevant act or omission to the party entitled to limitation.</w:t>
      </w:r>
    </w:p>
    <w:p w14:paraId="696EA176" w14:textId="77777777" w:rsidR="009C2DC2" w:rsidRPr="009C2DC2" w:rsidRDefault="009C2DC2" w:rsidP="009C2DC2">
      <w:pPr>
        <w:pStyle w:val="Paragraphedeliste"/>
        <w:ind w:left="567"/>
        <w:jc w:val="both"/>
        <w:rPr>
          <w:b/>
          <w:lang w:val="en-US"/>
        </w:rPr>
      </w:pPr>
    </w:p>
    <w:p w14:paraId="54351DFB" w14:textId="7B86FF0E" w:rsidR="00864D4B" w:rsidRDefault="006C3963" w:rsidP="009C2DC2">
      <w:pPr>
        <w:pStyle w:val="Paragraphedeliste"/>
        <w:numPr>
          <w:ilvl w:val="0"/>
          <w:numId w:val="3"/>
        </w:numPr>
        <w:ind w:left="567" w:hanging="567"/>
        <w:jc w:val="both"/>
        <w:rPr>
          <w:b/>
          <w:lang w:val="en-US"/>
        </w:rPr>
      </w:pPr>
      <w:r>
        <w:rPr>
          <w:lang w:val="en-US"/>
        </w:rPr>
        <w:t>“</w:t>
      </w:r>
      <w:r w:rsidRPr="00B36AF8">
        <w:rPr>
          <w:b/>
          <w:lang w:val="en-US"/>
        </w:rPr>
        <w:t>WITH</w:t>
      </w:r>
      <w:r>
        <w:rPr>
          <w:lang w:val="en-US"/>
        </w:rPr>
        <w:t xml:space="preserve"> </w:t>
      </w:r>
      <w:r>
        <w:rPr>
          <w:b/>
          <w:lang w:val="en-US"/>
        </w:rPr>
        <w:t>THE INTENT”/</w:t>
      </w:r>
      <w:r w:rsidR="007907FB">
        <w:rPr>
          <w:b/>
          <w:lang w:val="en-US"/>
        </w:rPr>
        <w:t xml:space="preserve"> </w:t>
      </w:r>
      <w:r>
        <w:rPr>
          <w:b/>
          <w:lang w:val="en-US"/>
        </w:rPr>
        <w:t>“RECKLESSLY” – Degree of fault</w:t>
      </w:r>
    </w:p>
    <w:p w14:paraId="6341735C" w14:textId="77777777" w:rsidR="00481346" w:rsidRDefault="00481346" w:rsidP="00481346">
      <w:pPr>
        <w:pStyle w:val="Paragraphedeliste"/>
        <w:ind w:left="567"/>
        <w:jc w:val="both"/>
        <w:rPr>
          <w:b/>
          <w:lang w:val="en-US"/>
        </w:rPr>
      </w:pPr>
    </w:p>
    <w:p w14:paraId="14CC1887" w14:textId="4F6ADC39" w:rsidR="00864D4B" w:rsidRPr="00D30089" w:rsidRDefault="006C3963" w:rsidP="00514F5B">
      <w:pPr>
        <w:pStyle w:val="Paragraphedeliste"/>
        <w:numPr>
          <w:ilvl w:val="0"/>
          <w:numId w:val="2"/>
        </w:numPr>
        <w:spacing w:after="240"/>
        <w:contextualSpacing w:val="0"/>
        <w:jc w:val="both"/>
        <w:rPr>
          <w:b/>
          <w:bCs/>
          <w:lang w:val="en-US"/>
        </w:rPr>
      </w:pPr>
      <w:r>
        <w:rPr>
          <w:lang w:val="en-US"/>
        </w:rPr>
        <w:t>How is “intent” in art. V</w:t>
      </w:r>
      <w:r w:rsidR="007907FB">
        <w:rPr>
          <w:lang w:val="en-US"/>
        </w:rPr>
        <w:t xml:space="preserve"> </w:t>
      </w:r>
      <w:r>
        <w:rPr>
          <w:lang w:val="en-US"/>
        </w:rPr>
        <w:t>(2) CLC 1992/art. 4 LLMC/arts. 7(5) and 9(2) HNS or relevant implementing domestic legislation interpreted in your jurisdiction?</w:t>
      </w:r>
    </w:p>
    <w:p w14:paraId="518F5F4E" w14:textId="79A61274" w:rsidR="00F75BBC" w:rsidRDefault="00D30089" w:rsidP="00F75BBC">
      <w:pPr>
        <w:pStyle w:val="Paragraphedeliste"/>
        <w:spacing w:after="240"/>
        <w:ind w:left="567"/>
        <w:contextualSpacing w:val="0"/>
        <w:jc w:val="both"/>
        <w:rPr>
          <w:lang w:val="en-US"/>
        </w:rPr>
      </w:pPr>
      <w:r w:rsidRPr="00D30089">
        <w:rPr>
          <w:b/>
          <w:bCs/>
          <w:lang w:val="en-US"/>
        </w:rPr>
        <w:t xml:space="preserve">No decision of our court expressly relies on the </w:t>
      </w:r>
      <w:r w:rsidR="00A012A7">
        <w:rPr>
          <w:b/>
          <w:bCs/>
          <w:lang w:val="en-US"/>
        </w:rPr>
        <w:t>‘’</w:t>
      </w:r>
      <w:r w:rsidRPr="00D30089">
        <w:rPr>
          <w:b/>
          <w:bCs/>
          <w:lang w:val="en-US"/>
        </w:rPr>
        <w:t>intent</w:t>
      </w:r>
      <w:r w:rsidR="00A012A7">
        <w:rPr>
          <w:b/>
          <w:bCs/>
          <w:lang w:val="en-US"/>
        </w:rPr>
        <w:t>’’</w:t>
      </w:r>
      <w:r w:rsidRPr="00D30089">
        <w:rPr>
          <w:b/>
          <w:bCs/>
          <w:lang w:val="en-US"/>
        </w:rPr>
        <w:t xml:space="preserve"> to cause a loss for the reason explained hereinafter in our response to question</w:t>
      </w:r>
      <w:r>
        <w:rPr>
          <w:b/>
          <w:bCs/>
          <w:lang w:val="en-US"/>
        </w:rPr>
        <w:t>s 10 and 11.</w:t>
      </w:r>
    </w:p>
    <w:p w14:paraId="12AB55BD" w14:textId="6CE61555" w:rsidR="007907FB" w:rsidRPr="007907FB" w:rsidRDefault="007907FB" w:rsidP="007907FB">
      <w:pPr>
        <w:spacing w:after="240"/>
        <w:jc w:val="both"/>
        <w:rPr>
          <w:lang w:val="en-US"/>
        </w:rPr>
      </w:pPr>
      <w:r>
        <w:rPr>
          <w:lang w:val="en-US"/>
        </w:rPr>
        <w:t xml:space="preserve">           </w:t>
      </w:r>
    </w:p>
    <w:p w14:paraId="74D5AD8F" w14:textId="6A48202A" w:rsidR="00CE5645" w:rsidRPr="00D30089" w:rsidRDefault="006C3963" w:rsidP="00514F5B">
      <w:pPr>
        <w:pStyle w:val="Paragraphedeliste"/>
        <w:numPr>
          <w:ilvl w:val="0"/>
          <w:numId w:val="2"/>
        </w:numPr>
        <w:spacing w:after="240"/>
        <w:contextualSpacing w:val="0"/>
        <w:jc w:val="both"/>
        <w:rPr>
          <w:b/>
          <w:lang w:val="en-US"/>
        </w:rPr>
      </w:pPr>
      <w:r w:rsidRPr="006C3963">
        <w:rPr>
          <w:lang w:val="en-US"/>
        </w:rPr>
        <w:t>How is recklessness under art. V</w:t>
      </w:r>
      <w:r w:rsidR="007907FB">
        <w:rPr>
          <w:lang w:val="en-US"/>
        </w:rPr>
        <w:t xml:space="preserve"> </w:t>
      </w:r>
      <w:r w:rsidRPr="006C3963">
        <w:rPr>
          <w:lang w:val="en-US"/>
        </w:rPr>
        <w:t>(2) CLC 1992/art. 4 LLMC/arts. 7(5) and 9(2) HNS or relevant implementing domestic legislation interpreted in your jurisdiction?</w:t>
      </w:r>
      <w:r w:rsidRPr="007907FB">
        <w:rPr>
          <w:color w:val="808080" w:themeColor="background1" w:themeShade="80"/>
          <w:lang w:val="en-US"/>
        </w:rPr>
        <w:t xml:space="preserve"> </w:t>
      </w:r>
      <w:r w:rsidRPr="007907FB">
        <w:rPr>
          <w:color w:val="404040" w:themeColor="text1" w:themeTint="BF"/>
          <w:lang w:val="en-US"/>
        </w:rPr>
        <w:t>Does</w:t>
      </w:r>
      <w:r w:rsidRPr="007907FB">
        <w:rPr>
          <w:color w:val="808080" w:themeColor="background1" w:themeShade="80"/>
          <w:lang w:val="en-US"/>
        </w:rPr>
        <w:t xml:space="preserve"> </w:t>
      </w:r>
      <w:r w:rsidRPr="006C3963">
        <w:rPr>
          <w:lang w:val="en-US"/>
        </w:rPr>
        <w:t>negligence qualify as recklessness (</w:t>
      </w:r>
      <w:r w:rsidRPr="006C3963">
        <w:rPr>
          <w:b/>
          <w:lang w:val="en-US"/>
        </w:rPr>
        <w:t>‘Qualifying Negligence’</w:t>
      </w:r>
      <w:r w:rsidRPr="006C3963">
        <w:rPr>
          <w:lang w:val="en-US"/>
        </w:rPr>
        <w:t xml:space="preserve">) under art. </w:t>
      </w:r>
      <w:proofErr w:type="gramStart"/>
      <w:r w:rsidRPr="006C3963">
        <w:rPr>
          <w:lang w:val="en-US"/>
        </w:rPr>
        <w:t>V(</w:t>
      </w:r>
      <w:proofErr w:type="gramEnd"/>
      <w:r w:rsidRPr="006C3963">
        <w:rPr>
          <w:lang w:val="en-US"/>
        </w:rPr>
        <w:t>2) CLC 1992/art. 4 LLMC/arts. 7(5) and 9(2) HNS in your jurisdiction?</w:t>
      </w:r>
    </w:p>
    <w:p w14:paraId="6C06E936" w14:textId="07C04623" w:rsidR="00D30089" w:rsidRDefault="00D30089" w:rsidP="00D30089">
      <w:pPr>
        <w:spacing w:after="240"/>
        <w:ind w:left="567"/>
        <w:jc w:val="both"/>
        <w:rPr>
          <w:b/>
          <w:lang w:val="en-US"/>
        </w:rPr>
      </w:pPr>
      <w:r>
        <w:rPr>
          <w:b/>
          <w:lang w:val="en-US"/>
        </w:rPr>
        <w:t>For years, our courts have used to assess the degree of fault necessary to prevent an owner to limit liability</w:t>
      </w:r>
      <w:r w:rsidR="00D76DBB">
        <w:rPr>
          <w:b/>
          <w:lang w:val="en-US"/>
        </w:rPr>
        <w:t xml:space="preserve">, </w:t>
      </w:r>
      <w:r>
        <w:rPr>
          <w:b/>
          <w:lang w:val="en-US"/>
        </w:rPr>
        <w:t>the concept of ‘’</w:t>
      </w:r>
      <w:proofErr w:type="spellStart"/>
      <w:r>
        <w:rPr>
          <w:b/>
          <w:lang w:val="en-US"/>
        </w:rPr>
        <w:t>faute</w:t>
      </w:r>
      <w:proofErr w:type="spellEnd"/>
      <w:r>
        <w:rPr>
          <w:b/>
          <w:lang w:val="en-US"/>
        </w:rPr>
        <w:t xml:space="preserve"> inexcusable’’ (willful misconduct) irrespective of (and disregarding) the more complex wording of the a.m. conventions.</w:t>
      </w:r>
    </w:p>
    <w:p w14:paraId="0A3E79A1" w14:textId="50757969" w:rsidR="00D30089" w:rsidRDefault="00D30089" w:rsidP="00D30089">
      <w:pPr>
        <w:spacing w:after="240"/>
        <w:ind w:left="567"/>
        <w:jc w:val="both"/>
        <w:rPr>
          <w:b/>
          <w:lang w:val="en-US"/>
        </w:rPr>
      </w:pPr>
      <w:r>
        <w:rPr>
          <w:b/>
          <w:lang w:val="en-US"/>
        </w:rPr>
        <w:t xml:space="preserve">This concept comes from </w:t>
      </w:r>
      <w:proofErr w:type="spellStart"/>
      <w:r>
        <w:rPr>
          <w:b/>
          <w:lang w:val="en-US"/>
        </w:rPr>
        <w:t>labour</w:t>
      </w:r>
      <w:proofErr w:type="spellEnd"/>
      <w:r>
        <w:rPr>
          <w:b/>
          <w:lang w:val="en-US"/>
        </w:rPr>
        <w:t xml:space="preserve"> law and has had over </w:t>
      </w:r>
      <w:r w:rsidR="00CC1B59">
        <w:rPr>
          <w:b/>
          <w:lang w:val="en-US"/>
        </w:rPr>
        <w:t>many</w:t>
      </w:r>
      <w:r>
        <w:rPr>
          <w:b/>
          <w:lang w:val="en-US"/>
        </w:rPr>
        <w:t xml:space="preserve"> years and </w:t>
      </w:r>
      <w:r w:rsidR="00180A59">
        <w:rPr>
          <w:b/>
          <w:lang w:val="en-US"/>
        </w:rPr>
        <w:t xml:space="preserve">depending on </w:t>
      </w:r>
      <w:r>
        <w:rPr>
          <w:b/>
          <w:lang w:val="en-US"/>
        </w:rPr>
        <w:t>the field in which it w</w:t>
      </w:r>
      <w:r w:rsidR="00CC1B59">
        <w:rPr>
          <w:b/>
          <w:lang w:val="en-US"/>
        </w:rPr>
        <w:t>a</w:t>
      </w:r>
      <w:r>
        <w:rPr>
          <w:b/>
          <w:lang w:val="en-US"/>
        </w:rPr>
        <w:t xml:space="preserve">s used, </w:t>
      </w:r>
      <w:r w:rsidR="00CC1B59">
        <w:rPr>
          <w:b/>
          <w:lang w:val="en-US"/>
        </w:rPr>
        <w:t xml:space="preserve">different definitions and interpretations. This methodology </w:t>
      </w:r>
      <w:r w:rsidR="00180A59">
        <w:rPr>
          <w:b/>
          <w:lang w:val="en-US"/>
        </w:rPr>
        <w:t xml:space="preserve">has </w:t>
      </w:r>
      <w:r w:rsidR="00CC1B59">
        <w:rPr>
          <w:b/>
          <w:lang w:val="en-US"/>
        </w:rPr>
        <w:t>allowed our courts to satisfy victims</w:t>
      </w:r>
      <w:r w:rsidR="00180A59">
        <w:rPr>
          <w:b/>
          <w:lang w:val="en-US"/>
        </w:rPr>
        <w:t>,</w:t>
      </w:r>
      <w:r w:rsidR="00CC1B59">
        <w:rPr>
          <w:b/>
          <w:lang w:val="en-US"/>
        </w:rPr>
        <w:t xml:space="preserve"> absent any analysis based on the criteria of the conventions.</w:t>
      </w:r>
    </w:p>
    <w:p w14:paraId="3830BEEF" w14:textId="09E36A77" w:rsidR="00CC1B59" w:rsidRDefault="00CC1B59" w:rsidP="00D30089">
      <w:pPr>
        <w:spacing w:after="240"/>
        <w:ind w:left="567"/>
        <w:jc w:val="both"/>
        <w:rPr>
          <w:b/>
          <w:lang w:val="en-US"/>
        </w:rPr>
      </w:pPr>
      <w:r>
        <w:rPr>
          <w:b/>
          <w:lang w:val="en-US"/>
        </w:rPr>
        <w:t xml:space="preserve">However, the </w:t>
      </w:r>
      <w:proofErr w:type="spellStart"/>
      <w:r>
        <w:rPr>
          <w:b/>
          <w:lang w:val="en-US"/>
        </w:rPr>
        <w:t>Cour</w:t>
      </w:r>
      <w:proofErr w:type="spellEnd"/>
      <w:r w:rsidR="00FE0FAF">
        <w:rPr>
          <w:b/>
          <w:lang w:val="en-US"/>
        </w:rPr>
        <w:t xml:space="preserve"> </w:t>
      </w:r>
      <w:r w:rsidR="00D76DBB">
        <w:rPr>
          <w:b/>
          <w:lang w:val="en-US"/>
        </w:rPr>
        <w:t>de</w:t>
      </w:r>
      <w:r>
        <w:rPr>
          <w:b/>
          <w:lang w:val="en-US"/>
        </w:rPr>
        <w:t xml:space="preserve"> cassation has, since 2002,</w:t>
      </w:r>
      <w:r w:rsidR="00FE0FAF">
        <w:rPr>
          <w:b/>
          <w:lang w:val="en-US"/>
        </w:rPr>
        <w:t xml:space="preserve"> regularly</w:t>
      </w:r>
      <w:r>
        <w:rPr>
          <w:b/>
          <w:lang w:val="en-US"/>
        </w:rPr>
        <w:t xml:space="preserve"> cancelled decisions of courts of appeal which had not based their reasoning on the wording of the a.m. conventions.</w:t>
      </w:r>
    </w:p>
    <w:p w14:paraId="0903A953" w14:textId="3C78F79E" w:rsidR="00D76DBB" w:rsidRDefault="00CC1B59" w:rsidP="00D30089">
      <w:pPr>
        <w:spacing w:after="240"/>
        <w:ind w:left="567"/>
        <w:jc w:val="both"/>
        <w:rPr>
          <w:b/>
          <w:lang w:val="en-US"/>
        </w:rPr>
      </w:pPr>
      <w:r>
        <w:rPr>
          <w:b/>
          <w:lang w:val="en-US"/>
        </w:rPr>
        <w:t xml:space="preserve">In the </w:t>
      </w:r>
      <w:r w:rsidR="003F6AA5">
        <w:rPr>
          <w:b/>
          <w:lang w:val="en-US"/>
        </w:rPr>
        <w:t>‘’</w:t>
      </w:r>
      <w:r>
        <w:rPr>
          <w:b/>
          <w:lang w:val="en-US"/>
        </w:rPr>
        <w:t>Ethnos</w:t>
      </w:r>
      <w:r w:rsidR="003F6AA5">
        <w:rPr>
          <w:b/>
          <w:lang w:val="en-US"/>
        </w:rPr>
        <w:t>’’</w:t>
      </w:r>
      <w:r>
        <w:rPr>
          <w:b/>
          <w:lang w:val="en-US"/>
        </w:rPr>
        <w:t xml:space="preserve"> (14 May 2002</w:t>
      </w:r>
      <w:r w:rsidR="003F6AA5">
        <w:rPr>
          <w:b/>
          <w:lang w:val="en-US"/>
        </w:rPr>
        <w:t xml:space="preserve"> – DMF 2002 no. 628 p.620</w:t>
      </w:r>
      <w:r>
        <w:rPr>
          <w:b/>
          <w:lang w:val="en-US"/>
        </w:rPr>
        <w:t>), it cancelled, for lack of legal basis, a decision of a court of appeal which had held the willfu</w:t>
      </w:r>
      <w:r w:rsidR="00180A59">
        <w:rPr>
          <w:b/>
          <w:lang w:val="en-US"/>
        </w:rPr>
        <w:t>l</w:t>
      </w:r>
      <w:r>
        <w:rPr>
          <w:b/>
          <w:lang w:val="en-US"/>
        </w:rPr>
        <w:t xml:space="preserve"> misconduct of a sea carrier because the reasons given were insufficient to establish that the sea carrier had acted recklessly and with knowledge that a loss would probably result. </w:t>
      </w:r>
    </w:p>
    <w:p w14:paraId="4FACC462" w14:textId="45BF8C8F" w:rsidR="00D76DBB" w:rsidRDefault="00CC1B59" w:rsidP="00D30089">
      <w:pPr>
        <w:spacing w:after="240"/>
        <w:ind w:left="567"/>
        <w:jc w:val="both"/>
        <w:rPr>
          <w:b/>
          <w:lang w:val="en-US"/>
        </w:rPr>
      </w:pPr>
      <w:r>
        <w:rPr>
          <w:b/>
          <w:lang w:val="en-US"/>
        </w:rPr>
        <w:t xml:space="preserve">The </w:t>
      </w:r>
      <w:proofErr w:type="spellStart"/>
      <w:r>
        <w:rPr>
          <w:b/>
          <w:lang w:val="en-US"/>
        </w:rPr>
        <w:t>Cour</w:t>
      </w:r>
      <w:proofErr w:type="spellEnd"/>
      <w:r>
        <w:rPr>
          <w:b/>
          <w:lang w:val="en-US"/>
        </w:rPr>
        <w:t xml:space="preserve"> de cassation used the same wording to cancel decisions of courts of appeal</w:t>
      </w:r>
      <w:r w:rsidR="00180A59">
        <w:rPr>
          <w:b/>
          <w:lang w:val="en-US"/>
        </w:rPr>
        <w:t>,</w:t>
      </w:r>
      <w:r w:rsidR="003F6AA5">
        <w:rPr>
          <w:b/>
          <w:lang w:val="en-US"/>
        </w:rPr>
        <w:t xml:space="preserve"> </w:t>
      </w:r>
      <w:r>
        <w:rPr>
          <w:b/>
          <w:lang w:val="en-US"/>
        </w:rPr>
        <w:t xml:space="preserve">in the </w:t>
      </w:r>
      <w:r w:rsidR="003F6AA5">
        <w:rPr>
          <w:b/>
          <w:lang w:val="en-US"/>
        </w:rPr>
        <w:t>‘’</w:t>
      </w:r>
      <w:proofErr w:type="spellStart"/>
      <w:r w:rsidR="003F6AA5">
        <w:rPr>
          <w:b/>
          <w:lang w:val="en-US"/>
        </w:rPr>
        <w:t>Multitank</w:t>
      </w:r>
      <w:proofErr w:type="spellEnd"/>
      <w:r w:rsidR="003F6AA5">
        <w:rPr>
          <w:b/>
          <w:lang w:val="en-US"/>
        </w:rPr>
        <w:t xml:space="preserve"> Arcadia’’ (8 October 2003 -  DMF 2003, no. 643 p.1057), ‘’Laura ( 4 </w:t>
      </w:r>
      <w:proofErr w:type="spellStart"/>
      <w:r w:rsidR="003F6AA5">
        <w:rPr>
          <w:b/>
          <w:lang w:val="en-US"/>
        </w:rPr>
        <w:t>Octobre</w:t>
      </w:r>
      <w:proofErr w:type="spellEnd"/>
      <w:r w:rsidR="003F6AA5">
        <w:rPr>
          <w:b/>
          <w:lang w:val="en-US"/>
        </w:rPr>
        <w:t xml:space="preserve"> 2005 – DMF 2006, no. 667 p.118), ‘’</w:t>
      </w:r>
      <w:proofErr w:type="spellStart"/>
      <w:r w:rsidR="003F6AA5">
        <w:rPr>
          <w:b/>
          <w:lang w:val="en-US"/>
        </w:rPr>
        <w:t>Touggourt</w:t>
      </w:r>
      <w:proofErr w:type="spellEnd"/>
      <w:r w:rsidR="003F6AA5">
        <w:rPr>
          <w:b/>
          <w:lang w:val="en-US"/>
        </w:rPr>
        <w:t>’’ (7 February 2006- DMF 2006, no. 671, P.516), ‘’Rosa Delmas ( 19</w:t>
      </w:r>
      <w:r w:rsidR="00D76DBB">
        <w:rPr>
          <w:b/>
          <w:lang w:val="en-US"/>
        </w:rPr>
        <w:t xml:space="preserve"> O</w:t>
      </w:r>
      <w:r w:rsidR="003F6AA5">
        <w:rPr>
          <w:b/>
          <w:lang w:val="en-US"/>
        </w:rPr>
        <w:t>ctob</w:t>
      </w:r>
      <w:r w:rsidR="00D76DBB">
        <w:rPr>
          <w:b/>
          <w:lang w:val="en-US"/>
        </w:rPr>
        <w:t>er</w:t>
      </w:r>
      <w:r w:rsidR="003F6AA5">
        <w:rPr>
          <w:b/>
          <w:lang w:val="en-US"/>
        </w:rPr>
        <w:t xml:space="preserve"> 2010, DMF 2010, no.72,p.155</w:t>
      </w:r>
      <w:r w:rsidR="00D76DBB">
        <w:rPr>
          <w:b/>
          <w:lang w:val="en-US"/>
        </w:rPr>
        <w:t>), ‘’ Caliente and Malika ( 29 April 2014 no. 12-25.901).</w:t>
      </w:r>
    </w:p>
    <w:p w14:paraId="4AE94C2C" w14:textId="77777777" w:rsidR="00A97BDE" w:rsidRDefault="00D76DBB" w:rsidP="00DD3971">
      <w:pPr>
        <w:spacing w:after="240"/>
        <w:ind w:left="567"/>
        <w:jc w:val="both"/>
        <w:rPr>
          <w:b/>
          <w:lang w:val="en-US"/>
        </w:rPr>
      </w:pPr>
      <w:r>
        <w:rPr>
          <w:b/>
          <w:lang w:val="en-US"/>
        </w:rPr>
        <w:t xml:space="preserve"> It follows that the </w:t>
      </w:r>
      <w:proofErr w:type="spellStart"/>
      <w:r>
        <w:rPr>
          <w:b/>
          <w:lang w:val="en-US"/>
        </w:rPr>
        <w:t>Cour</w:t>
      </w:r>
      <w:proofErr w:type="spellEnd"/>
      <w:r>
        <w:rPr>
          <w:b/>
          <w:lang w:val="en-US"/>
        </w:rPr>
        <w:t xml:space="preserve"> de Cassation now invites the lower courts to characterize the reckless act committed with knowledge that damages would probably result.</w:t>
      </w:r>
    </w:p>
    <w:p w14:paraId="2692168A" w14:textId="42C64246" w:rsidR="00DD3971" w:rsidRDefault="00DD3971" w:rsidP="00DD3971">
      <w:pPr>
        <w:spacing w:after="240"/>
        <w:ind w:left="567"/>
        <w:jc w:val="both"/>
        <w:rPr>
          <w:b/>
          <w:lang w:val="en-US"/>
        </w:rPr>
      </w:pPr>
      <w:r>
        <w:rPr>
          <w:b/>
          <w:lang w:val="en-US"/>
        </w:rPr>
        <w:t xml:space="preserve"> Courts of appeal have followed the evolution of the doctrine of the </w:t>
      </w:r>
      <w:proofErr w:type="spellStart"/>
      <w:r>
        <w:rPr>
          <w:b/>
          <w:lang w:val="en-US"/>
        </w:rPr>
        <w:t>Cour</w:t>
      </w:r>
      <w:proofErr w:type="spellEnd"/>
      <w:r>
        <w:rPr>
          <w:b/>
          <w:lang w:val="en-US"/>
        </w:rPr>
        <w:t xml:space="preserve"> de Cassation:</w:t>
      </w:r>
    </w:p>
    <w:p w14:paraId="5F42353E" w14:textId="18CC2C7D" w:rsidR="00FE0FAF" w:rsidRDefault="00FE0FAF" w:rsidP="00791F84">
      <w:pPr>
        <w:spacing w:after="240"/>
        <w:ind w:left="567"/>
        <w:jc w:val="both"/>
        <w:rPr>
          <w:b/>
          <w:lang w:val="en-US"/>
        </w:rPr>
      </w:pPr>
      <w:r>
        <w:rPr>
          <w:b/>
          <w:lang w:val="en-US"/>
        </w:rPr>
        <w:t>. On 14 January 20013, the court of appeal of Bordeaux held that, since the proof that an owner’s act or omission had been committed with intent to cause a damage or recklessly and with knowledge that a damage would probably result</w:t>
      </w:r>
      <w:r w:rsidR="00A97BDE">
        <w:rPr>
          <w:b/>
          <w:lang w:val="en-US"/>
        </w:rPr>
        <w:t>,</w:t>
      </w:r>
      <w:r>
        <w:rPr>
          <w:b/>
          <w:lang w:val="en-US"/>
        </w:rPr>
        <w:t xml:space="preserve"> had not been brought, it was entitled to benefit of the limitation provided under the LLMC. (‘’</w:t>
      </w:r>
      <w:proofErr w:type="spellStart"/>
      <w:r>
        <w:rPr>
          <w:b/>
          <w:lang w:val="en-US"/>
        </w:rPr>
        <w:t>Heidberg</w:t>
      </w:r>
      <w:proofErr w:type="spellEnd"/>
      <w:r>
        <w:rPr>
          <w:b/>
          <w:lang w:val="en-US"/>
        </w:rPr>
        <w:t>’’ DMF 2013, no.745).</w:t>
      </w:r>
    </w:p>
    <w:p w14:paraId="7F333950" w14:textId="7928EECE" w:rsidR="00FE0FAF" w:rsidRDefault="00FE0FAF" w:rsidP="00791F84">
      <w:pPr>
        <w:spacing w:after="240"/>
        <w:ind w:left="567"/>
        <w:jc w:val="both"/>
        <w:rPr>
          <w:b/>
          <w:lang w:val="en-US"/>
        </w:rPr>
      </w:pPr>
      <w:r>
        <w:rPr>
          <w:b/>
          <w:lang w:val="en-US"/>
        </w:rPr>
        <w:t>It is worth adding that, in this decision, the court of appeal of Bordeaux held that, ‘’in maritime matters, if the conditions provided for by the convention are fulfilled, the principle governing the liability of shipowners is the limitation of liability, in fact that of the compensation, the exception being their full and entire liability, hence the repair of the damages in full.’’</w:t>
      </w:r>
    </w:p>
    <w:p w14:paraId="325E5DE2" w14:textId="1E4B4897" w:rsidR="009A5322" w:rsidRDefault="009A5322" w:rsidP="00791F84">
      <w:pPr>
        <w:spacing w:after="240"/>
        <w:ind w:left="567"/>
        <w:jc w:val="both"/>
        <w:rPr>
          <w:b/>
          <w:lang w:val="en-US"/>
        </w:rPr>
      </w:pPr>
      <w:r>
        <w:rPr>
          <w:b/>
          <w:lang w:val="en-US"/>
        </w:rPr>
        <w:t xml:space="preserve">The </w:t>
      </w:r>
      <w:proofErr w:type="spellStart"/>
      <w:r>
        <w:rPr>
          <w:b/>
          <w:lang w:val="en-US"/>
        </w:rPr>
        <w:t>Cour</w:t>
      </w:r>
      <w:proofErr w:type="spellEnd"/>
      <w:r>
        <w:rPr>
          <w:b/>
          <w:lang w:val="en-US"/>
        </w:rPr>
        <w:t xml:space="preserve"> de cassation rejected the appeal against this decision on 22 September 2015.</w:t>
      </w:r>
    </w:p>
    <w:p w14:paraId="220003D4" w14:textId="46FE9841" w:rsidR="00B41556" w:rsidRDefault="00DD3971" w:rsidP="00791F84">
      <w:pPr>
        <w:spacing w:after="240"/>
        <w:ind w:left="567"/>
        <w:jc w:val="both"/>
        <w:rPr>
          <w:b/>
          <w:lang w:val="en-US"/>
        </w:rPr>
      </w:pPr>
      <w:r>
        <w:rPr>
          <w:b/>
          <w:lang w:val="en-US"/>
        </w:rPr>
        <w:t>.</w:t>
      </w:r>
      <w:r w:rsidR="00791F84">
        <w:rPr>
          <w:b/>
          <w:lang w:val="en-US"/>
        </w:rPr>
        <w:t xml:space="preserve"> </w:t>
      </w:r>
      <w:r>
        <w:rPr>
          <w:b/>
          <w:lang w:val="en-US"/>
        </w:rPr>
        <w:t>On 1 November 2013, although the court of Appeal of Rouen still</w:t>
      </w:r>
      <w:r w:rsidR="00D15163">
        <w:rPr>
          <w:b/>
          <w:lang w:val="en-US"/>
        </w:rPr>
        <w:t xml:space="preserve"> </w:t>
      </w:r>
      <w:r>
        <w:rPr>
          <w:b/>
          <w:lang w:val="en-US"/>
        </w:rPr>
        <w:t xml:space="preserve">used the concept of </w:t>
      </w:r>
      <w:proofErr w:type="spellStart"/>
      <w:r>
        <w:rPr>
          <w:b/>
          <w:lang w:val="en-US"/>
        </w:rPr>
        <w:t>faute</w:t>
      </w:r>
      <w:proofErr w:type="spellEnd"/>
      <w:r>
        <w:rPr>
          <w:b/>
          <w:lang w:val="en-US"/>
        </w:rPr>
        <w:t xml:space="preserve"> inexcusable, it defined it by reference to the wording of the a.m. conventions as ‘’a reckless act committed without valid reasons notwithstanding the conscience that a damage would probably result.’’</w:t>
      </w:r>
      <w:r w:rsidR="00102B7A">
        <w:rPr>
          <w:b/>
          <w:lang w:val="en-US"/>
        </w:rPr>
        <w:t xml:space="preserve"> (‘’Antares and Audrey Marie’’, DMF 2013 no. 752)</w:t>
      </w:r>
      <w:r w:rsidR="00FE0FAF">
        <w:rPr>
          <w:b/>
          <w:lang w:val="en-US"/>
        </w:rPr>
        <w:t>.</w:t>
      </w:r>
    </w:p>
    <w:p w14:paraId="097C1510" w14:textId="7840B258" w:rsidR="00180A59" w:rsidRDefault="00180A59" w:rsidP="00DD3971">
      <w:pPr>
        <w:spacing w:after="240"/>
        <w:ind w:left="567"/>
        <w:jc w:val="both"/>
        <w:rPr>
          <w:b/>
          <w:lang w:val="en-US"/>
        </w:rPr>
      </w:pPr>
    </w:p>
    <w:p w14:paraId="6506C843" w14:textId="28EC15D0" w:rsidR="00180A59" w:rsidRDefault="00180A59" w:rsidP="00DD3971">
      <w:pPr>
        <w:spacing w:after="240"/>
        <w:ind w:left="567"/>
        <w:jc w:val="both"/>
        <w:rPr>
          <w:b/>
          <w:lang w:val="en-US"/>
        </w:rPr>
      </w:pPr>
      <w:r>
        <w:rPr>
          <w:b/>
          <w:lang w:val="en-US"/>
        </w:rPr>
        <w:t>In response to the second part of the question</w:t>
      </w:r>
      <w:r w:rsidR="00892B44">
        <w:rPr>
          <w:b/>
          <w:lang w:val="en-US"/>
        </w:rPr>
        <w:t xml:space="preserve">, </w:t>
      </w:r>
      <w:r w:rsidR="003A4C4E">
        <w:rPr>
          <w:b/>
          <w:lang w:val="en-US"/>
        </w:rPr>
        <w:t>our courts now favor a strict interpretation of the wording of the a.m. conventions and requires the lower courts to characterize the degree of fault preventing an owner to limit its liabi</w:t>
      </w:r>
      <w:r w:rsidR="00A97BDE">
        <w:rPr>
          <w:b/>
          <w:lang w:val="en-US"/>
        </w:rPr>
        <w:t>li</w:t>
      </w:r>
      <w:r w:rsidR="003A4C4E">
        <w:rPr>
          <w:b/>
          <w:lang w:val="en-US"/>
        </w:rPr>
        <w:t xml:space="preserve">ty. </w:t>
      </w:r>
    </w:p>
    <w:p w14:paraId="7EBAA98F" w14:textId="2E45AE13" w:rsidR="003A4C4E" w:rsidRPr="00D30089" w:rsidRDefault="003A4C4E" w:rsidP="00DD3971">
      <w:pPr>
        <w:spacing w:after="240"/>
        <w:ind w:left="567"/>
        <w:jc w:val="both"/>
        <w:rPr>
          <w:b/>
          <w:lang w:val="en-US"/>
        </w:rPr>
      </w:pPr>
      <w:r>
        <w:rPr>
          <w:b/>
          <w:lang w:val="en-US"/>
        </w:rPr>
        <w:t xml:space="preserve">Although we are not sure what ‘’qualifying negligence’’ </w:t>
      </w:r>
      <w:r w:rsidR="00A97BDE">
        <w:rPr>
          <w:b/>
          <w:lang w:val="en-US"/>
        </w:rPr>
        <w:t xml:space="preserve">exactly </w:t>
      </w:r>
      <w:r>
        <w:rPr>
          <w:b/>
          <w:lang w:val="en-US"/>
        </w:rPr>
        <w:t>means, the answer is that negligence, whatever its degree,</w:t>
      </w:r>
      <w:r w:rsidR="008F64C3">
        <w:rPr>
          <w:b/>
          <w:lang w:val="en-US"/>
        </w:rPr>
        <w:t xml:space="preserve"> does not meet the req</w:t>
      </w:r>
      <w:r w:rsidR="00892B44">
        <w:rPr>
          <w:b/>
          <w:lang w:val="en-US"/>
        </w:rPr>
        <w:t>u</w:t>
      </w:r>
      <w:r w:rsidR="008F64C3">
        <w:rPr>
          <w:b/>
          <w:lang w:val="en-US"/>
        </w:rPr>
        <w:t>irements of the a.m. conventions.</w:t>
      </w:r>
    </w:p>
    <w:p w14:paraId="447041D5" w14:textId="3D6FD6E5" w:rsidR="00CE5645" w:rsidRDefault="006C3963" w:rsidP="00514F5B">
      <w:pPr>
        <w:pStyle w:val="Paragraphedeliste"/>
        <w:numPr>
          <w:ilvl w:val="1"/>
          <w:numId w:val="2"/>
        </w:numPr>
        <w:spacing w:after="240"/>
        <w:contextualSpacing w:val="0"/>
        <w:jc w:val="both"/>
        <w:rPr>
          <w:lang w:val="en-US"/>
        </w:rPr>
      </w:pPr>
      <w:r>
        <w:rPr>
          <w:lang w:val="en-US"/>
        </w:rPr>
        <w:t>If the answer to the previous question is in the affirmative, what are the elements of Qualifying Negligence under art. V</w:t>
      </w:r>
      <w:r w:rsidR="00892B44">
        <w:rPr>
          <w:lang w:val="en-US"/>
        </w:rPr>
        <w:t xml:space="preserve"> </w:t>
      </w:r>
      <w:r>
        <w:rPr>
          <w:lang w:val="en-US"/>
        </w:rPr>
        <w:t>(2) CLC 1992/art. 4 LLMC/arts. 7(5) and 9(2) HNS?</w:t>
      </w:r>
    </w:p>
    <w:p w14:paraId="772C9BD0" w14:textId="41A30773" w:rsidR="003A4C4E" w:rsidRPr="008F64C3" w:rsidRDefault="008F64C3" w:rsidP="003A4C4E">
      <w:pPr>
        <w:spacing w:after="240"/>
        <w:ind w:left="567"/>
        <w:jc w:val="both"/>
        <w:rPr>
          <w:b/>
          <w:bCs/>
          <w:lang w:val="en-US"/>
        </w:rPr>
      </w:pPr>
      <w:r w:rsidRPr="008F64C3">
        <w:rPr>
          <w:b/>
          <w:bCs/>
          <w:lang w:val="en-US"/>
        </w:rPr>
        <w:t>N/A</w:t>
      </w:r>
    </w:p>
    <w:p w14:paraId="219A5E06" w14:textId="1094550F" w:rsidR="004F0AB6" w:rsidRPr="00892B44" w:rsidRDefault="006C3963" w:rsidP="00514F5B">
      <w:pPr>
        <w:pStyle w:val="Paragraphedeliste"/>
        <w:numPr>
          <w:ilvl w:val="0"/>
          <w:numId w:val="2"/>
        </w:numPr>
        <w:spacing w:after="240"/>
        <w:contextualSpacing w:val="0"/>
        <w:jc w:val="both"/>
        <w:rPr>
          <w:b/>
          <w:lang w:val="en-US"/>
        </w:rPr>
      </w:pPr>
      <w:r w:rsidRPr="004F0AB6">
        <w:rPr>
          <w:lang w:val="en-US"/>
        </w:rPr>
        <w:t>What is the standard for recklessness under art. V</w:t>
      </w:r>
      <w:r w:rsidR="00892B44">
        <w:rPr>
          <w:lang w:val="en-US"/>
        </w:rPr>
        <w:t xml:space="preserve"> </w:t>
      </w:r>
      <w:r w:rsidRPr="004F0AB6">
        <w:rPr>
          <w:lang w:val="en-US"/>
        </w:rPr>
        <w:t>(2) CLC 1992/art. 4 LLMC/</w:t>
      </w:r>
      <w:proofErr w:type="gramStart"/>
      <w:r w:rsidRPr="004F0AB6">
        <w:rPr>
          <w:lang w:val="en-US"/>
        </w:rPr>
        <w:t>arts.</w:t>
      </w:r>
      <w:proofErr w:type="gramEnd"/>
      <w:r w:rsidRPr="004F0AB6">
        <w:rPr>
          <w:lang w:val="en-US"/>
        </w:rPr>
        <w:t xml:space="preserve"> 7(5) and 9(2) HNS? </w:t>
      </w:r>
    </w:p>
    <w:p w14:paraId="258FE16A" w14:textId="6EAAB121" w:rsidR="00892B44" w:rsidRDefault="00892B44" w:rsidP="00892B44">
      <w:pPr>
        <w:spacing w:after="240"/>
        <w:jc w:val="both"/>
        <w:rPr>
          <w:b/>
          <w:lang w:val="en-US"/>
        </w:rPr>
      </w:pPr>
      <w:r>
        <w:rPr>
          <w:b/>
          <w:lang w:val="en-US"/>
        </w:rPr>
        <w:t>The French jurisprudence does not allow us to answer this question.</w:t>
      </w:r>
    </w:p>
    <w:p w14:paraId="3D38FE84" w14:textId="64A85705" w:rsidR="00A97BDE" w:rsidRDefault="00892B44" w:rsidP="008F64C3">
      <w:pPr>
        <w:spacing w:after="240"/>
        <w:jc w:val="both"/>
        <w:rPr>
          <w:b/>
          <w:lang w:val="en-US"/>
        </w:rPr>
      </w:pPr>
      <w:r>
        <w:rPr>
          <w:b/>
          <w:lang w:val="en-US"/>
        </w:rPr>
        <w:t>Only one decision</w:t>
      </w:r>
      <w:r w:rsidR="00A97BDE">
        <w:rPr>
          <w:b/>
          <w:lang w:val="en-US"/>
        </w:rPr>
        <w:t>, rendered in</w:t>
      </w:r>
      <w:r w:rsidR="009A5322">
        <w:rPr>
          <w:b/>
          <w:lang w:val="en-US"/>
        </w:rPr>
        <w:t xml:space="preserve"> the Erika by a criminal chamber of the court of </w:t>
      </w:r>
      <w:proofErr w:type="spellStart"/>
      <w:r w:rsidR="009A5322">
        <w:rPr>
          <w:b/>
          <w:lang w:val="en-US"/>
        </w:rPr>
        <w:t>ppeal</w:t>
      </w:r>
      <w:proofErr w:type="spellEnd"/>
      <w:r w:rsidR="009A5322">
        <w:rPr>
          <w:b/>
          <w:lang w:val="en-US"/>
        </w:rPr>
        <w:t xml:space="preserve"> of Paris</w:t>
      </w:r>
      <w:r w:rsidR="00A97BDE">
        <w:rPr>
          <w:b/>
          <w:lang w:val="en-US"/>
        </w:rPr>
        <w:t>,</w:t>
      </w:r>
      <w:r>
        <w:rPr>
          <w:b/>
          <w:lang w:val="en-US"/>
        </w:rPr>
        <w:t xml:space="preserve"> relied on the concept of recklessness to</w:t>
      </w:r>
      <w:r w:rsidR="009A5322">
        <w:rPr>
          <w:b/>
          <w:lang w:val="en-US"/>
        </w:rPr>
        <w:t xml:space="preserve"> </w:t>
      </w:r>
      <w:r>
        <w:rPr>
          <w:b/>
          <w:lang w:val="en-US"/>
        </w:rPr>
        <w:t xml:space="preserve">refuse the benefit of the CLC limitation to </w:t>
      </w:r>
      <w:proofErr w:type="spellStart"/>
      <w:r>
        <w:rPr>
          <w:b/>
          <w:lang w:val="en-US"/>
        </w:rPr>
        <w:t>Messrs</w:t>
      </w:r>
      <w:proofErr w:type="spellEnd"/>
      <w:r>
        <w:rPr>
          <w:b/>
          <w:lang w:val="en-US"/>
        </w:rPr>
        <w:t xml:space="preserve"> Savarese</w:t>
      </w:r>
      <w:r w:rsidR="009A5322">
        <w:rPr>
          <w:b/>
          <w:lang w:val="en-US"/>
        </w:rPr>
        <w:t xml:space="preserve"> (the sole shareholder of </w:t>
      </w:r>
      <w:proofErr w:type="spellStart"/>
      <w:r w:rsidR="009A5322">
        <w:rPr>
          <w:b/>
          <w:lang w:val="en-US"/>
        </w:rPr>
        <w:t>Tevere</w:t>
      </w:r>
      <w:proofErr w:type="spellEnd"/>
      <w:r w:rsidR="009A5322">
        <w:rPr>
          <w:b/>
          <w:lang w:val="en-US"/>
        </w:rPr>
        <w:t xml:space="preserve"> Shipping, the registered owner)</w:t>
      </w:r>
      <w:r>
        <w:rPr>
          <w:b/>
          <w:lang w:val="en-US"/>
        </w:rPr>
        <w:t xml:space="preserve">, </w:t>
      </w:r>
      <w:proofErr w:type="spellStart"/>
      <w:r>
        <w:rPr>
          <w:b/>
          <w:lang w:val="en-US"/>
        </w:rPr>
        <w:t>Pollara</w:t>
      </w:r>
      <w:proofErr w:type="spellEnd"/>
      <w:r w:rsidR="009A5322">
        <w:rPr>
          <w:b/>
          <w:lang w:val="en-US"/>
        </w:rPr>
        <w:t xml:space="preserve"> </w:t>
      </w:r>
      <w:proofErr w:type="gramStart"/>
      <w:r w:rsidR="009A5322">
        <w:rPr>
          <w:b/>
          <w:lang w:val="en-US"/>
        </w:rPr>
        <w:t>( the</w:t>
      </w:r>
      <w:proofErr w:type="gramEnd"/>
      <w:r w:rsidR="009A5322">
        <w:rPr>
          <w:b/>
          <w:lang w:val="en-US"/>
        </w:rPr>
        <w:t xml:space="preserve"> technical manager)</w:t>
      </w:r>
      <w:r>
        <w:rPr>
          <w:b/>
          <w:lang w:val="en-US"/>
        </w:rPr>
        <w:t xml:space="preserve"> and Rina</w:t>
      </w:r>
      <w:r w:rsidR="009A5322">
        <w:rPr>
          <w:b/>
          <w:lang w:val="en-US"/>
        </w:rPr>
        <w:t>,</w:t>
      </w:r>
      <w:r>
        <w:rPr>
          <w:b/>
          <w:lang w:val="en-US"/>
        </w:rPr>
        <w:t xml:space="preserve"> the </w:t>
      </w:r>
      <w:r w:rsidR="009A5322">
        <w:rPr>
          <w:b/>
          <w:lang w:val="en-US"/>
        </w:rPr>
        <w:t>classification society.</w:t>
      </w:r>
      <w:r w:rsidR="0079084E">
        <w:rPr>
          <w:b/>
          <w:lang w:val="en-US"/>
        </w:rPr>
        <w:t xml:space="preserve"> </w:t>
      </w:r>
      <w:r>
        <w:rPr>
          <w:b/>
          <w:lang w:val="en-US"/>
        </w:rPr>
        <w:t xml:space="preserve"> </w:t>
      </w:r>
      <w:r w:rsidR="009A5322">
        <w:rPr>
          <w:b/>
          <w:lang w:val="en-US"/>
        </w:rPr>
        <w:t>I</w:t>
      </w:r>
      <w:r>
        <w:rPr>
          <w:b/>
          <w:lang w:val="en-US"/>
        </w:rPr>
        <w:t>t is worth noting</w:t>
      </w:r>
      <w:r w:rsidR="00A97BDE">
        <w:rPr>
          <w:b/>
          <w:lang w:val="en-US"/>
        </w:rPr>
        <w:t xml:space="preserve"> that</w:t>
      </w:r>
      <w:r>
        <w:rPr>
          <w:b/>
          <w:lang w:val="en-US"/>
        </w:rPr>
        <w:t xml:space="preserve"> the registered owner had not been sued before the criminal court. The</w:t>
      </w:r>
      <w:r w:rsidR="00A97BDE">
        <w:rPr>
          <w:b/>
          <w:lang w:val="en-US"/>
        </w:rPr>
        <w:t xml:space="preserve"> Criminal Chamber of </w:t>
      </w:r>
      <w:proofErr w:type="gramStart"/>
      <w:r w:rsidR="00A97BDE">
        <w:rPr>
          <w:b/>
          <w:lang w:val="en-US"/>
        </w:rPr>
        <w:t xml:space="preserve">the </w:t>
      </w:r>
      <w:r>
        <w:rPr>
          <w:b/>
          <w:lang w:val="en-US"/>
        </w:rPr>
        <w:t xml:space="preserve"> </w:t>
      </w:r>
      <w:proofErr w:type="spellStart"/>
      <w:r>
        <w:rPr>
          <w:b/>
          <w:lang w:val="en-US"/>
        </w:rPr>
        <w:t>Cour</w:t>
      </w:r>
      <w:proofErr w:type="spellEnd"/>
      <w:proofErr w:type="gramEnd"/>
      <w:r>
        <w:rPr>
          <w:b/>
          <w:lang w:val="en-US"/>
        </w:rPr>
        <w:t xml:space="preserve"> de Cassation held</w:t>
      </w:r>
      <w:r w:rsidR="000C343D">
        <w:rPr>
          <w:b/>
          <w:lang w:val="en-US"/>
        </w:rPr>
        <w:t xml:space="preserve"> in 2012</w:t>
      </w:r>
      <w:r>
        <w:rPr>
          <w:b/>
          <w:lang w:val="en-US"/>
        </w:rPr>
        <w:t xml:space="preserve"> that</w:t>
      </w:r>
      <w:r w:rsidR="0079084E">
        <w:rPr>
          <w:b/>
          <w:lang w:val="en-US"/>
        </w:rPr>
        <w:t xml:space="preserve"> the court of appeal </w:t>
      </w:r>
      <w:r w:rsidR="009A5322">
        <w:rPr>
          <w:b/>
          <w:lang w:val="en-US"/>
        </w:rPr>
        <w:t xml:space="preserve">of Paris </w:t>
      </w:r>
      <w:r w:rsidR="0079084E">
        <w:rPr>
          <w:b/>
          <w:lang w:val="en-US"/>
        </w:rPr>
        <w:t>could not be criticized for having refused the benefit of the CLC limitation to the above private individuals and to Rina because their faults, found in the framework of the Public action, characterized a reckless fault.</w:t>
      </w:r>
    </w:p>
    <w:p w14:paraId="0A19820C" w14:textId="3AB0A123" w:rsidR="008F64C3" w:rsidRPr="008F64C3" w:rsidRDefault="0079084E" w:rsidP="008F64C3">
      <w:pPr>
        <w:spacing w:after="240"/>
        <w:jc w:val="both"/>
        <w:rPr>
          <w:b/>
          <w:lang w:val="en-US"/>
        </w:rPr>
      </w:pPr>
      <w:r>
        <w:rPr>
          <w:b/>
          <w:lang w:val="en-US"/>
        </w:rPr>
        <w:t xml:space="preserve"> Among the critics that may be made against this decision, it is noteworthy that </w:t>
      </w:r>
      <w:r w:rsidR="00A97BDE">
        <w:rPr>
          <w:b/>
          <w:lang w:val="en-US"/>
        </w:rPr>
        <w:t xml:space="preserve">, unlike the civil courts, </w:t>
      </w:r>
      <w:r>
        <w:rPr>
          <w:b/>
          <w:lang w:val="en-US"/>
        </w:rPr>
        <w:t xml:space="preserve">the </w:t>
      </w:r>
      <w:proofErr w:type="spellStart"/>
      <w:r>
        <w:rPr>
          <w:b/>
          <w:lang w:val="en-US"/>
        </w:rPr>
        <w:t>Cour</w:t>
      </w:r>
      <w:proofErr w:type="spellEnd"/>
      <w:r>
        <w:rPr>
          <w:b/>
          <w:lang w:val="en-US"/>
        </w:rPr>
        <w:t xml:space="preserve"> de cassation has not </w:t>
      </w:r>
      <w:r w:rsidR="0022097A">
        <w:rPr>
          <w:b/>
          <w:lang w:val="en-US"/>
        </w:rPr>
        <w:t>analy</w:t>
      </w:r>
      <w:r w:rsidR="000C343D">
        <w:rPr>
          <w:b/>
          <w:lang w:val="en-US"/>
        </w:rPr>
        <w:t>z</w:t>
      </w:r>
      <w:r w:rsidR="0022097A">
        <w:rPr>
          <w:b/>
          <w:lang w:val="en-US"/>
        </w:rPr>
        <w:t>ed</w:t>
      </w:r>
      <w:r>
        <w:rPr>
          <w:b/>
          <w:lang w:val="en-US"/>
        </w:rPr>
        <w:t xml:space="preserve"> the faults by reference to the wording of the Article </w:t>
      </w:r>
      <w:r w:rsidR="0022097A">
        <w:rPr>
          <w:b/>
          <w:lang w:val="en-US"/>
        </w:rPr>
        <w:t>V</w:t>
      </w:r>
      <w:r>
        <w:rPr>
          <w:b/>
          <w:lang w:val="en-US"/>
        </w:rPr>
        <w:t xml:space="preserve"> (2) of the CLC and</w:t>
      </w:r>
      <w:r w:rsidR="0022097A">
        <w:rPr>
          <w:b/>
          <w:lang w:val="en-US"/>
        </w:rPr>
        <w:t xml:space="preserve"> ignored that, according to the text, recklessness could not be considered on its own but should be associated with knowledge that that damage would  probably result.</w:t>
      </w:r>
    </w:p>
    <w:p w14:paraId="3A15D742" w14:textId="2B6EB53B" w:rsidR="00DD6555" w:rsidRPr="0022097A" w:rsidRDefault="006C3963" w:rsidP="00514F5B">
      <w:pPr>
        <w:pStyle w:val="Paragraphedeliste"/>
        <w:numPr>
          <w:ilvl w:val="0"/>
          <w:numId w:val="2"/>
        </w:numPr>
        <w:spacing w:after="240"/>
        <w:contextualSpacing w:val="0"/>
        <w:jc w:val="both"/>
        <w:rPr>
          <w:b/>
          <w:lang w:val="en-US"/>
        </w:rPr>
      </w:pPr>
      <w:r w:rsidRPr="00D543C1">
        <w:rPr>
          <w:lang w:val="en-US"/>
        </w:rPr>
        <w:t>How is “actual fault” in art. V</w:t>
      </w:r>
      <w:r w:rsidR="0022097A">
        <w:rPr>
          <w:lang w:val="en-US"/>
        </w:rPr>
        <w:t xml:space="preserve"> </w:t>
      </w:r>
      <w:r w:rsidRPr="00D543C1">
        <w:rPr>
          <w:lang w:val="en-US"/>
        </w:rPr>
        <w:t>(2) CLC 1969 interpreted in your jurisdiction?</w:t>
      </w:r>
    </w:p>
    <w:p w14:paraId="512B6FE0" w14:textId="4C8B8917" w:rsidR="0022097A" w:rsidRPr="0022097A" w:rsidRDefault="0022097A" w:rsidP="0022097A">
      <w:pPr>
        <w:spacing w:after="240"/>
        <w:jc w:val="both"/>
        <w:rPr>
          <w:b/>
          <w:lang w:val="en-US"/>
        </w:rPr>
      </w:pPr>
      <w:r>
        <w:rPr>
          <w:b/>
          <w:lang w:val="en-US"/>
        </w:rPr>
        <w:t xml:space="preserve">The wording </w:t>
      </w:r>
      <w:r w:rsidR="00D41BF3">
        <w:rPr>
          <w:b/>
          <w:lang w:val="en-US"/>
        </w:rPr>
        <w:t>‘’</w:t>
      </w:r>
      <w:r>
        <w:rPr>
          <w:b/>
          <w:lang w:val="en-US"/>
        </w:rPr>
        <w:t>actual fault and privity</w:t>
      </w:r>
      <w:r w:rsidR="00D41BF3">
        <w:rPr>
          <w:b/>
          <w:lang w:val="en-US"/>
        </w:rPr>
        <w:t>’’</w:t>
      </w:r>
      <w:r>
        <w:rPr>
          <w:b/>
          <w:lang w:val="en-US"/>
        </w:rPr>
        <w:t xml:space="preserve"> was that of the 1957 convention</w:t>
      </w:r>
      <w:r w:rsidR="00D41BF3">
        <w:rPr>
          <w:b/>
          <w:lang w:val="en-US"/>
        </w:rPr>
        <w:t xml:space="preserve"> on the limitation of liability of owners and that of the CLC 1969. It had been translated in the French text </w:t>
      </w:r>
      <w:proofErr w:type="gramStart"/>
      <w:r w:rsidR="00D41BF3">
        <w:rPr>
          <w:b/>
          <w:lang w:val="en-US"/>
        </w:rPr>
        <w:t>by  ‘</w:t>
      </w:r>
      <w:proofErr w:type="gramEnd"/>
      <w:r w:rsidR="00D41BF3">
        <w:rPr>
          <w:b/>
          <w:lang w:val="en-US"/>
        </w:rPr>
        <w:t>’</w:t>
      </w:r>
      <w:proofErr w:type="spellStart"/>
      <w:r w:rsidR="00D41BF3">
        <w:rPr>
          <w:b/>
          <w:lang w:val="en-US"/>
        </w:rPr>
        <w:t>faute</w:t>
      </w:r>
      <w:proofErr w:type="spellEnd"/>
      <w:r w:rsidR="00D41BF3">
        <w:rPr>
          <w:b/>
          <w:lang w:val="en-US"/>
        </w:rPr>
        <w:t xml:space="preserve"> </w:t>
      </w:r>
      <w:proofErr w:type="spellStart"/>
      <w:r w:rsidR="00D41BF3">
        <w:rPr>
          <w:b/>
          <w:lang w:val="en-US"/>
        </w:rPr>
        <w:t>personnelle</w:t>
      </w:r>
      <w:proofErr w:type="spellEnd"/>
      <w:r w:rsidR="00D41BF3">
        <w:rPr>
          <w:b/>
          <w:lang w:val="en-US"/>
        </w:rPr>
        <w:t>’’ of the owner. Breaking the limitation was easy</w:t>
      </w:r>
      <w:r w:rsidR="00A97BDE">
        <w:rPr>
          <w:b/>
          <w:lang w:val="en-US"/>
        </w:rPr>
        <w:t xml:space="preserve"> at the time</w:t>
      </w:r>
      <w:r w:rsidR="00D41BF3">
        <w:rPr>
          <w:b/>
          <w:lang w:val="en-US"/>
        </w:rPr>
        <w:t xml:space="preserve">.  A mere fault was sufficient providing it was a fault of the owner. </w:t>
      </w:r>
    </w:p>
    <w:p w14:paraId="72EFD8F6" w14:textId="4280A789" w:rsidR="009C2DC2" w:rsidRDefault="006C3963" w:rsidP="00514F5B">
      <w:pPr>
        <w:pStyle w:val="Paragraphedeliste"/>
        <w:numPr>
          <w:ilvl w:val="0"/>
          <w:numId w:val="2"/>
        </w:numPr>
        <w:spacing w:after="240"/>
        <w:contextualSpacing w:val="0"/>
        <w:jc w:val="both"/>
        <w:rPr>
          <w:lang w:val="en-US"/>
        </w:rPr>
      </w:pPr>
      <w:r w:rsidRPr="00D543C1">
        <w:rPr>
          <w:lang w:val="en-US"/>
        </w:rPr>
        <w:t>How is “privity” in art. V</w:t>
      </w:r>
      <w:r w:rsidR="006A64BF">
        <w:rPr>
          <w:lang w:val="en-US"/>
        </w:rPr>
        <w:t xml:space="preserve"> </w:t>
      </w:r>
      <w:r w:rsidRPr="00D543C1">
        <w:rPr>
          <w:lang w:val="en-US"/>
        </w:rPr>
        <w:t xml:space="preserve">(2) CLC 1969 interpreted in your jurisdiction? </w:t>
      </w:r>
    </w:p>
    <w:p w14:paraId="5CA80F61" w14:textId="33D806D2" w:rsidR="006A64BF" w:rsidRPr="006A64BF" w:rsidRDefault="006A64BF" w:rsidP="006A64BF">
      <w:pPr>
        <w:spacing w:after="240"/>
        <w:jc w:val="both"/>
        <w:rPr>
          <w:b/>
          <w:bCs/>
          <w:lang w:val="en-US"/>
        </w:rPr>
      </w:pPr>
      <w:r w:rsidRPr="006A64BF">
        <w:rPr>
          <w:b/>
          <w:bCs/>
          <w:lang w:val="en-US"/>
        </w:rPr>
        <w:t xml:space="preserve">It has never been interpreted </w:t>
      </w:r>
      <w:r w:rsidR="00A56C65">
        <w:rPr>
          <w:b/>
          <w:bCs/>
          <w:lang w:val="en-US"/>
        </w:rPr>
        <w:t xml:space="preserve">because it cannot be translated into French </w:t>
      </w:r>
      <w:r w:rsidRPr="006A64BF">
        <w:rPr>
          <w:b/>
          <w:bCs/>
          <w:lang w:val="en-US"/>
        </w:rPr>
        <w:t xml:space="preserve">and </w:t>
      </w:r>
      <w:r w:rsidR="00A56C65">
        <w:rPr>
          <w:b/>
          <w:bCs/>
          <w:lang w:val="en-US"/>
        </w:rPr>
        <w:t>there is no equivalent in</w:t>
      </w:r>
      <w:r w:rsidRPr="006A64BF">
        <w:rPr>
          <w:b/>
          <w:bCs/>
          <w:lang w:val="en-US"/>
        </w:rPr>
        <w:t xml:space="preserve"> French</w:t>
      </w:r>
      <w:r w:rsidR="00A56C65">
        <w:rPr>
          <w:b/>
          <w:bCs/>
          <w:lang w:val="en-US"/>
        </w:rPr>
        <w:t xml:space="preserve"> law.</w:t>
      </w:r>
    </w:p>
    <w:p w14:paraId="76635B56" w14:textId="77777777" w:rsidR="009C2DC2" w:rsidRDefault="009C2DC2">
      <w:pPr>
        <w:rPr>
          <w:lang w:val="en-US"/>
        </w:rPr>
      </w:pPr>
      <w:r>
        <w:rPr>
          <w:lang w:val="en-US"/>
        </w:rPr>
        <w:br w:type="page"/>
      </w:r>
    </w:p>
    <w:p w14:paraId="5CB3E9C0" w14:textId="54DF076A" w:rsidR="00C65238" w:rsidRDefault="006C3963" w:rsidP="009C2DC2">
      <w:pPr>
        <w:pStyle w:val="Paragraphedeliste"/>
        <w:numPr>
          <w:ilvl w:val="0"/>
          <w:numId w:val="3"/>
        </w:numPr>
        <w:ind w:left="567" w:hanging="567"/>
        <w:jc w:val="both"/>
        <w:rPr>
          <w:b/>
          <w:lang w:val="en-US"/>
        </w:rPr>
      </w:pPr>
      <w:r>
        <w:rPr>
          <w:b/>
          <w:lang w:val="en-US"/>
        </w:rPr>
        <w:t>KNOWLEDGE OF THE LIKELIHOOD OF THE HARMFUL RESULT</w:t>
      </w:r>
    </w:p>
    <w:p w14:paraId="0B2C604D" w14:textId="77777777" w:rsidR="00B3351A" w:rsidRDefault="00B3351A" w:rsidP="00B3351A">
      <w:pPr>
        <w:pStyle w:val="Paragraphedeliste"/>
        <w:ind w:left="567"/>
        <w:jc w:val="both"/>
        <w:rPr>
          <w:b/>
          <w:lang w:val="en-US"/>
        </w:rPr>
      </w:pPr>
    </w:p>
    <w:p w14:paraId="7D1B6029" w14:textId="63A375CD" w:rsidR="00DD6555" w:rsidRDefault="006C3963" w:rsidP="00514F5B">
      <w:pPr>
        <w:pStyle w:val="Paragraphedeliste"/>
        <w:numPr>
          <w:ilvl w:val="0"/>
          <w:numId w:val="2"/>
        </w:numPr>
        <w:spacing w:after="240"/>
        <w:contextualSpacing w:val="0"/>
        <w:jc w:val="both"/>
        <w:rPr>
          <w:lang w:val="en-US"/>
        </w:rPr>
      </w:pPr>
      <w:r>
        <w:rPr>
          <w:lang w:val="en-US"/>
        </w:rPr>
        <w:t>How is the requirement for knowledge in art. V</w:t>
      </w:r>
      <w:r w:rsidR="006A64BF">
        <w:rPr>
          <w:lang w:val="en-US"/>
        </w:rPr>
        <w:t xml:space="preserve"> </w:t>
      </w:r>
      <w:r>
        <w:rPr>
          <w:lang w:val="en-US"/>
        </w:rPr>
        <w:t>(2) CLC 1992/art. 4 LLMC/</w:t>
      </w:r>
      <w:proofErr w:type="gramStart"/>
      <w:r>
        <w:rPr>
          <w:lang w:val="en-US"/>
        </w:rPr>
        <w:t>arts.</w:t>
      </w:r>
      <w:proofErr w:type="gramEnd"/>
      <w:r>
        <w:rPr>
          <w:lang w:val="en-US"/>
        </w:rPr>
        <w:t xml:space="preserve"> 7(5) and 9(2) HNS interpreted in your jurisdiction?</w:t>
      </w:r>
    </w:p>
    <w:p w14:paraId="10EB12A4" w14:textId="4D1E8A18" w:rsidR="006A64BF" w:rsidRPr="006A64BF" w:rsidRDefault="006A64BF" w:rsidP="006A64BF">
      <w:pPr>
        <w:spacing w:after="240"/>
        <w:jc w:val="both"/>
        <w:rPr>
          <w:b/>
          <w:bCs/>
          <w:lang w:val="en-US"/>
        </w:rPr>
      </w:pPr>
      <w:r w:rsidRPr="006A64BF">
        <w:rPr>
          <w:b/>
          <w:bCs/>
          <w:lang w:val="en-US"/>
        </w:rPr>
        <w:t xml:space="preserve">As already said, this requirement has never been considered nor therefore interpreted by our courts on its own. </w:t>
      </w:r>
      <w:r>
        <w:rPr>
          <w:b/>
          <w:bCs/>
          <w:lang w:val="en-US"/>
        </w:rPr>
        <w:t xml:space="preserve"> No answer can therefore be given to this question nor to the questions 15 and 16.</w:t>
      </w:r>
    </w:p>
    <w:p w14:paraId="1E44F6F0" w14:textId="01104C51" w:rsidR="00DD6555" w:rsidRDefault="006C3963" w:rsidP="00514F5B">
      <w:pPr>
        <w:pStyle w:val="Paragraphedeliste"/>
        <w:numPr>
          <w:ilvl w:val="0"/>
          <w:numId w:val="2"/>
        </w:numPr>
        <w:spacing w:after="240"/>
        <w:contextualSpacing w:val="0"/>
        <w:jc w:val="both"/>
        <w:rPr>
          <w:lang w:val="en-US"/>
        </w:rPr>
      </w:pPr>
      <w:r>
        <w:rPr>
          <w:lang w:val="en-US"/>
        </w:rPr>
        <w:t>Does imputed or background knowledge suffice for the purposes of art. V</w:t>
      </w:r>
      <w:r w:rsidR="006A64BF">
        <w:rPr>
          <w:lang w:val="en-US"/>
        </w:rPr>
        <w:t xml:space="preserve"> </w:t>
      </w:r>
      <w:r>
        <w:rPr>
          <w:lang w:val="en-US"/>
        </w:rPr>
        <w:t>(2) CLC 1992/art. 4 LLMC/arts. 7(5) and 9(2) HNS?</w:t>
      </w:r>
    </w:p>
    <w:p w14:paraId="56C21A58" w14:textId="77777777" w:rsidR="004F5B16" w:rsidRDefault="006C3963">
      <w:pPr>
        <w:pStyle w:val="Paragraphedeliste"/>
        <w:numPr>
          <w:ilvl w:val="1"/>
          <w:numId w:val="2"/>
        </w:numPr>
        <w:spacing w:after="240"/>
        <w:contextualSpacing w:val="0"/>
        <w:jc w:val="both"/>
        <w:rPr>
          <w:lang w:val="en-US"/>
        </w:rPr>
      </w:pPr>
      <w:r>
        <w:rPr>
          <w:lang w:val="en-US"/>
        </w:rPr>
        <w:t>If the answer to the previous question is in the affirmative, what are the relevant requirements?</w:t>
      </w:r>
    </w:p>
    <w:p w14:paraId="6F7994E8" w14:textId="77777777" w:rsidR="00E57848" w:rsidRDefault="006C3963" w:rsidP="00514F5B">
      <w:pPr>
        <w:pStyle w:val="Paragraphedeliste"/>
        <w:numPr>
          <w:ilvl w:val="0"/>
          <w:numId w:val="2"/>
        </w:numPr>
        <w:spacing w:after="240"/>
        <w:contextualSpacing w:val="0"/>
        <w:jc w:val="both"/>
        <w:rPr>
          <w:lang w:val="en-US"/>
        </w:rPr>
      </w:pPr>
      <w:r>
        <w:rPr>
          <w:lang w:val="en-US"/>
        </w:rPr>
        <w:t xml:space="preserve">Does failure to obtain the necessary information suffice for the purposes of art. </w:t>
      </w:r>
      <w:proofErr w:type="gramStart"/>
      <w:r>
        <w:rPr>
          <w:lang w:val="en-US"/>
        </w:rPr>
        <w:t>V(</w:t>
      </w:r>
      <w:proofErr w:type="gramEnd"/>
      <w:r>
        <w:rPr>
          <w:lang w:val="en-US"/>
        </w:rPr>
        <w:t>2) CLC 1992/art. 4 LLMC/arts. 7(5) and 9(2) HNS?</w:t>
      </w:r>
    </w:p>
    <w:p w14:paraId="26527A8C" w14:textId="77777777" w:rsidR="00845035" w:rsidRDefault="006C3963" w:rsidP="00514F5B">
      <w:pPr>
        <w:pStyle w:val="Paragraphedeliste"/>
        <w:numPr>
          <w:ilvl w:val="1"/>
          <w:numId w:val="2"/>
        </w:numPr>
        <w:spacing w:after="240"/>
        <w:contextualSpacing w:val="0"/>
        <w:jc w:val="both"/>
        <w:rPr>
          <w:lang w:val="en-US"/>
        </w:rPr>
      </w:pPr>
      <w:r>
        <w:rPr>
          <w:lang w:val="en-US"/>
        </w:rPr>
        <w:t>If the answer to the previous question is in the affirmative, what are the relevant requirements?</w:t>
      </w:r>
    </w:p>
    <w:p w14:paraId="453426D9" w14:textId="77777777" w:rsidR="009C2DC2" w:rsidRDefault="009C2DC2" w:rsidP="009C2DC2">
      <w:pPr>
        <w:pStyle w:val="Paragraphedeliste"/>
        <w:ind w:left="567"/>
        <w:jc w:val="both"/>
        <w:rPr>
          <w:b/>
          <w:lang w:val="en-US"/>
        </w:rPr>
      </w:pPr>
    </w:p>
    <w:p w14:paraId="7CC33270" w14:textId="77777777" w:rsidR="00DD6555" w:rsidRDefault="006C3963" w:rsidP="009C2DC2">
      <w:pPr>
        <w:pStyle w:val="Paragraphedeliste"/>
        <w:numPr>
          <w:ilvl w:val="0"/>
          <w:numId w:val="3"/>
        </w:numPr>
        <w:ind w:left="567" w:hanging="567"/>
        <w:jc w:val="both"/>
        <w:rPr>
          <w:b/>
          <w:lang w:val="en-US"/>
        </w:rPr>
      </w:pPr>
      <w:r>
        <w:rPr>
          <w:b/>
          <w:lang w:val="en-US"/>
        </w:rPr>
        <w:t>“SUCH DAMAGE”</w:t>
      </w:r>
      <w:proofErr w:type="gramStart"/>
      <w:r>
        <w:rPr>
          <w:b/>
          <w:lang w:val="en-US"/>
        </w:rPr>
        <w:t>/”SUCH</w:t>
      </w:r>
      <w:proofErr w:type="gramEnd"/>
      <w:r>
        <w:rPr>
          <w:b/>
          <w:lang w:val="en-US"/>
        </w:rPr>
        <w:t xml:space="preserve"> LOSS”</w:t>
      </w:r>
    </w:p>
    <w:p w14:paraId="6772EA32" w14:textId="27A4935C" w:rsidR="00C65238" w:rsidRPr="006A64BF" w:rsidRDefault="006C3963" w:rsidP="00514F5B">
      <w:pPr>
        <w:pStyle w:val="Paragraphedeliste"/>
        <w:numPr>
          <w:ilvl w:val="0"/>
          <w:numId w:val="2"/>
        </w:numPr>
        <w:spacing w:after="240"/>
        <w:contextualSpacing w:val="0"/>
        <w:jc w:val="both"/>
        <w:rPr>
          <w:b/>
          <w:lang w:val="en-US"/>
        </w:rPr>
      </w:pPr>
      <w:r>
        <w:rPr>
          <w:lang w:val="en-US"/>
        </w:rPr>
        <w:t>How has the term “such loss”</w:t>
      </w:r>
      <w:proofErr w:type="gramStart"/>
      <w:r>
        <w:rPr>
          <w:lang w:val="en-US"/>
        </w:rPr>
        <w:t>/”such</w:t>
      </w:r>
      <w:proofErr w:type="gramEnd"/>
      <w:r>
        <w:rPr>
          <w:lang w:val="en-US"/>
        </w:rPr>
        <w:t xml:space="preserve"> damage” (art. 4 LLMC - art. V(2) CLC 1996/arts. 7(5) and 9(2) HNS 1996, respectively) been interpreted in your jurisdiction?</w:t>
      </w:r>
    </w:p>
    <w:p w14:paraId="6FB605B0" w14:textId="2522916F" w:rsidR="006A64BF" w:rsidRPr="006A64BF" w:rsidRDefault="006A64BF" w:rsidP="006A64BF">
      <w:pPr>
        <w:spacing w:after="240"/>
        <w:jc w:val="both"/>
        <w:rPr>
          <w:b/>
          <w:lang w:val="en-US"/>
        </w:rPr>
      </w:pPr>
      <w:r>
        <w:rPr>
          <w:b/>
          <w:lang w:val="en-US"/>
        </w:rPr>
        <w:t>It does not seem that these term</w:t>
      </w:r>
      <w:r w:rsidR="00A56C65">
        <w:rPr>
          <w:b/>
          <w:lang w:val="en-US"/>
        </w:rPr>
        <w:t>s</w:t>
      </w:r>
      <w:r>
        <w:rPr>
          <w:b/>
          <w:lang w:val="en-US"/>
        </w:rPr>
        <w:t xml:space="preserve"> ha</w:t>
      </w:r>
      <w:r w:rsidR="00A56C65">
        <w:rPr>
          <w:b/>
          <w:lang w:val="en-US"/>
        </w:rPr>
        <w:t>ve</w:t>
      </w:r>
      <w:r>
        <w:rPr>
          <w:b/>
          <w:lang w:val="en-US"/>
        </w:rPr>
        <w:t xml:space="preserve"> given rise to any difficulty as no reported cases have dealt with them. </w:t>
      </w:r>
    </w:p>
    <w:p w14:paraId="3E8F7594" w14:textId="77777777" w:rsidR="009C2DC2" w:rsidRDefault="009C2DC2" w:rsidP="009C2DC2">
      <w:pPr>
        <w:pStyle w:val="Paragraphedeliste"/>
        <w:ind w:left="567"/>
        <w:jc w:val="both"/>
        <w:rPr>
          <w:b/>
          <w:lang w:val="en-US"/>
        </w:rPr>
      </w:pPr>
    </w:p>
    <w:p w14:paraId="209E7A72" w14:textId="77777777" w:rsidR="00724EBD" w:rsidRPr="00D2318F" w:rsidRDefault="006C3963" w:rsidP="009C2DC2">
      <w:pPr>
        <w:pStyle w:val="Paragraphedeliste"/>
        <w:numPr>
          <w:ilvl w:val="0"/>
          <w:numId w:val="3"/>
        </w:numPr>
        <w:ind w:left="567" w:hanging="567"/>
        <w:jc w:val="both"/>
        <w:rPr>
          <w:b/>
          <w:lang w:val="en-US"/>
        </w:rPr>
      </w:pPr>
      <w:r w:rsidRPr="00D2318F">
        <w:rPr>
          <w:b/>
          <w:lang w:val="en-US"/>
        </w:rPr>
        <w:t>BURDEN OF PROOF</w:t>
      </w:r>
    </w:p>
    <w:p w14:paraId="7ACC2C6B" w14:textId="196549E2" w:rsidR="00724EBD" w:rsidRDefault="006C3963" w:rsidP="00514F5B">
      <w:pPr>
        <w:pStyle w:val="Paragraphedeliste"/>
        <w:numPr>
          <w:ilvl w:val="0"/>
          <w:numId w:val="2"/>
        </w:numPr>
        <w:spacing w:after="240"/>
        <w:jc w:val="both"/>
        <w:rPr>
          <w:lang w:val="en-US"/>
        </w:rPr>
      </w:pPr>
      <w:r>
        <w:rPr>
          <w:lang w:val="en-US"/>
        </w:rPr>
        <w:t>Who bears the burden of proof to show that the requirements for breaking the right to limit are fulfilled?</w:t>
      </w:r>
    </w:p>
    <w:p w14:paraId="5DD01321" w14:textId="17DC95DF" w:rsidR="00A56C65" w:rsidRPr="00A56C65" w:rsidRDefault="00A56C65" w:rsidP="00A56C65">
      <w:pPr>
        <w:spacing w:after="240"/>
        <w:jc w:val="both"/>
        <w:rPr>
          <w:lang w:val="en-US"/>
        </w:rPr>
      </w:pPr>
      <w:r w:rsidRPr="00AB5E4C">
        <w:rPr>
          <w:b/>
          <w:bCs/>
          <w:lang w:val="en-US"/>
        </w:rPr>
        <w:t>In the ‘’</w:t>
      </w:r>
      <w:proofErr w:type="spellStart"/>
      <w:r w:rsidRPr="00AB5E4C">
        <w:rPr>
          <w:b/>
          <w:bCs/>
          <w:lang w:val="en-US"/>
        </w:rPr>
        <w:t>Heidberg</w:t>
      </w:r>
      <w:proofErr w:type="spellEnd"/>
      <w:r w:rsidRPr="00AB5E4C">
        <w:rPr>
          <w:b/>
          <w:bCs/>
          <w:lang w:val="en-US"/>
        </w:rPr>
        <w:t>’’</w:t>
      </w:r>
      <w:r w:rsidR="00791F84">
        <w:rPr>
          <w:b/>
          <w:bCs/>
          <w:lang w:val="en-US"/>
        </w:rPr>
        <w:t>,</w:t>
      </w:r>
      <w:r w:rsidRPr="00AB5E4C">
        <w:rPr>
          <w:b/>
          <w:bCs/>
          <w:lang w:val="en-US"/>
        </w:rPr>
        <w:t xml:space="preserve"> the court of appeal of Bordeaux recalled in </w:t>
      </w:r>
      <w:r w:rsidR="00A97BDE">
        <w:rPr>
          <w:b/>
          <w:bCs/>
          <w:lang w:val="en-US"/>
        </w:rPr>
        <w:t>it</w:t>
      </w:r>
      <w:r w:rsidR="00791F84">
        <w:rPr>
          <w:b/>
          <w:bCs/>
          <w:lang w:val="en-US"/>
        </w:rPr>
        <w:t>s</w:t>
      </w:r>
      <w:r w:rsidR="00A97BDE">
        <w:rPr>
          <w:b/>
          <w:bCs/>
          <w:lang w:val="en-US"/>
        </w:rPr>
        <w:t xml:space="preserve"> a. m.</w:t>
      </w:r>
      <w:r w:rsidRPr="00AB5E4C">
        <w:rPr>
          <w:b/>
          <w:bCs/>
          <w:lang w:val="en-US"/>
        </w:rPr>
        <w:t xml:space="preserve"> decision rendered in 2013, that it belong</w:t>
      </w:r>
      <w:r w:rsidR="00791F84">
        <w:rPr>
          <w:b/>
          <w:bCs/>
          <w:lang w:val="en-US"/>
        </w:rPr>
        <w:t>s</w:t>
      </w:r>
      <w:r w:rsidRPr="00AB5E4C">
        <w:rPr>
          <w:b/>
          <w:bCs/>
          <w:lang w:val="en-US"/>
        </w:rPr>
        <w:t xml:space="preserve"> to the person asking that the limitation be set aside to prove the existence of a fact or of an omission of the owner. It is in conformity with French law of the proof</w:t>
      </w:r>
      <w:r>
        <w:rPr>
          <w:lang w:val="en-US"/>
        </w:rPr>
        <w:t>.</w:t>
      </w:r>
    </w:p>
    <w:p w14:paraId="04FB4AC7" w14:textId="77777777" w:rsidR="006A64BF" w:rsidRPr="006A64BF" w:rsidRDefault="006A64BF" w:rsidP="006A64BF">
      <w:pPr>
        <w:spacing w:after="240"/>
        <w:jc w:val="both"/>
        <w:rPr>
          <w:lang w:val="en-US"/>
        </w:rPr>
      </w:pPr>
    </w:p>
    <w:p w14:paraId="05D1103E" w14:textId="5122B35C" w:rsidR="00724EBD" w:rsidRDefault="006C3963" w:rsidP="00514F5B">
      <w:pPr>
        <w:pStyle w:val="Paragraphedeliste"/>
        <w:numPr>
          <w:ilvl w:val="0"/>
          <w:numId w:val="2"/>
        </w:numPr>
        <w:spacing w:after="240"/>
        <w:jc w:val="both"/>
        <w:rPr>
          <w:lang w:val="en-US"/>
        </w:rPr>
      </w:pPr>
      <w:r>
        <w:rPr>
          <w:lang w:val="en-US"/>
        </w:rPr>
        <w:t>Is it possible under the procedural rules of your jurisdiction that the burden of proof may shift to the person liable under certain conditions?</w:t>
      </w:r>
    </w:p>
    <w:p w14:paraId="3B47B26E" w14:textId="5C4F0D02" w:rsidR="00AB5E4C" w:rsidRPr="00AB5E4C" w:rsidRDefault="00AB5E4C" w:rsidP="00AB5E4C">
      <w:pPr>
        <w:spacing w:after="240"/>
        <w:jc w:val="both"/>
        <w:rPr>
          <w:b/>
          <w:bCs/>
          <w:lang w:val="en-US"/>
        </w:rPr>
      </w:pPr>
      <w:r w:rsidRPr="00AB5E4C">
        <w:rPr>
          <w:b/>
          <w:bCs/>
          <w:lang w:val="en-US"/>
        </w:rPr>
        <w:t>No.</w:t>
      </w:r>
    </w:p>
    <w:p w14:paraId="4068C84E" w14:textId="77777777" w:rsidR="009C2DC2" w:rsidRDefault="009C2DC2" w:rsidP="009C2DC2">
      <w:pPr>
        <w:pStyle w:val="Paragraphedeliste"/>
        <w:ind w:left="567"/>
        <w:jc w:val="both"/>
        <w:rPr>
          <w:b/>
          <w:lang w:val="en-US"/>
        </w:rPr>
      </w:pPr>
    </w:p>
    <w:p w14:paraId="0ED93181" w14:textId="77777777" w:rsidR="007502CA" w:rsidRDefault="006C3963" w:rsidP="009C2DC2">
      <w:pPr>
        <w:pStyle w:val="Paragraphedeliste"/>
        <w:numPr>
          <w:ilvl w:val="0"/>
          <w:numId w:val="3"/>
        </w:numPr>
        <w:ind w:left="567" w:hanging="567"/>
        <w:jc w:val="both"/>
        <w:rPr>
          <w:b/>
          <w:lang w:val="en-US"/>
        </w:rPr>
      </w:pPr>
      <w:r>
        <w:rPr>
          <w:b/>
          <w:lang w:val="en-US"/>
        </w:rPr>
        <w:t>INDICATIVE REFERENCE TO OTHER CONVENTIONS</w:t>
      </w:r>
    </w:p>
    <w:p w14:paraId="3D4CDB2F" w14:textId="3C7B02DD" w:rsidR="005C6E15" w:rsidRPr="00AB5E4C" w:rsidRDefault="006C3963" w:rsidP="00514F5B">
      <w:pPr>
        <w:pStyle w:val="Paragraphedeliste"/>
        <w:numPr>
          <w:ilvl w:val="0"/>
          <w:numId w:val="2"/>
        </w:numPr>
        <w:spacing w:after="240"/>
        <w:contextualSpacing w:val="0"/>
        <w:jc w:val="both"/>
        <w:rPr>
          <w:b/>
          <w:lang w:val="en-US"/>
        </w:rPr>
      </w:pPr>
      <w:r>
        <w:rPr>
          <w:lang w:val="en-US"/>
        </w:rPr>
        <w:t>What is the wording used to implement art. 10(2) WRC and art. 10(2) Bunkers Convention in your jurisdiction?</w:t>
      </w:r>
    </w:p>
    <w:p w14:paraId="5629A948" w14:textId="4F5033B2" w:rsidR="00AB5E4C" w:rsidRPr="00AB5E4C" w:rsidRDefault="00AB5E4C" w:rsidP="00AB5E4C">
      <w:pPr>
        <w:spacing w:after="240"/>
        <w:jc w:val="both"/>
        <w:rPr>
          <w:b/>
          <w:bCs/>
          <w:lang w:val="en-US"/>
        </w:rPr>
      </w:pPr>
      <w:r w:rsidRPr="00AB5E4C">
        <w:rPr>
          <w:b/>
          <w:bCs/>
          <w:lang w:val="en-US"/>
        </w:rPr>
        <w:t>None.</w:t>
      </w:r>
    </w:p>
    <w:p w14:paraId="48817231" w14:textId="74B94838" w:rsidR="0051079E" w:rsidRPr="00AB5E4C" w:rsidRDefault="006C3963" w:rsidP="00514F5B">
      <w:pPr>
        <w:pStyle w:val="Paragraphedeliste"/>
        <w:numPr>
          <w:ilvl w:val="0"/>
          <w:numId w:val="2"/>
        </w:numPr>
        <w:spacing w:after="240"/>
        <w:contextualSpacing w:val="0"/>
        <w:jc w:val="both"/>
        <w:rPr>
          <w:b/>
          <w:lang w:val="en-US"/>
        </w:rPr>
      </w:pPr>
      <w:r>
        <w:rPr>
          <w:lang w:val="en-US"/>
        </w:rPr>
        <w:t>How have art. 10(2) WRC and art. 10(2) Bunkers Convention been interpreted in your jurisdiction in the context of br</w:t>
      </w:r>
      <w:r w:rsidR="00AB5E4C">
        <w:rPr>
          <w:lang w:val="en-US"/>
        </w:rPr>
        <w:t>e</w:t>
      </w:r>
      <w:r>
        <w:rPr>
          <w:lang w:val="en-US"/>
        </w:rPr>
        <w:t xml:space="preserve">aking the right to limitation? </w:t>
      </w:r>
    </w:p>
    <w:p w14:paraId="03148E6C" w14:textId="7885CF84" w:rsidR="00AB5E4C" w:rsidRPr="00AB5E4C" w:rsidRDefault="00AB5E4C" w:rsidP="00AB5E4C">
      <w:pPr>
        <w:spacing w:after="240"/>
        <w:jc w:val="both"/>
        <w:rPr>
          <w:b/>
          <w:lang w:val="en-US"/>
        </w:rPr>
      </w:pPr>
      <w:r>
        <w:rPr>
          <w:b/>
          <w:lang w:val="en-US"/>
        </w:rPr>
        <w:t>Not to our knowledge.</w:t>
      </w:r>
    </w:p>
    <w:p w14:paraId="29068CA8" w14:textId="77777777" w:rsidR="009C2DC2" w:rsidRDefault="009C2DC2" w:rsidP="009C2DC2">
      <w:pPr>
        <w:pStyle w:val="Paragraphedeliste"/>
        <w:ind w:left="567"/>
        <w:jc w:val="both"/>
        <w:rPr>
          <w:b/>
          <w:lang w:val="en-US"/>
        </w:rPr>
      </w:pPr>
    </w:p>
    <w:p w14:paraId="7B4ECE1D" w14:textId="77777777" w:rsidR="0051079E" w:rsidRDefault="006C3963" w:rsidP="009C2DC2">
      <w:pPr>
        <w:pStyle w:val="Paragraphedeliste"/>
        <w:numPr>
          <w:ilvl w:val="0"/>
          <w:numId w:val="3"/>
        </w:numPr>
        <w:ind w:left="567" w:hanging="567"/>
        <w:jc w:val="both"/>
        <w:rPr>
          <w:b/>
          <w:lang w:val="en-US"/>
        </w:rPr>
      </w:pPr>
      <w:r>
        <w:rPr>
          <w:b/>
          <w:lang w:val="en-US"/>
        </w:rPr>
        <w:t>EQUIVALENT PROVISIONS</w:t>
      </w:r>
    </w:p>
    <w:p w14:paraId="19461A82" w14:textId="77777777" w:rsidR="00724EBD" w:rsidRDefault="006C3963" w:rsidP="00514F5B">
      <w:pPr>
        <w:pStyle w:val="Paragraphedeliste"/>
        <w:numPr>
          <w:ilvl w:val="0"/>
          <w:numId w:val="2"/>
        </w:numPr>
        <w:jc w:val="both"/>
        <w:rPr>
          <w:lang w:val="en-US"/>
        </w:rPr>
      </w:pPr>
      <w:r>
        <w:rPr>
          <w:lang w:val="en-US"/>
        </w:rPr>
        <w:t>The same language for the test for breaking the liability limits is used in art IV (5)(e) of the Hague Rules as amended by the Visby Protocol:</w:t>
      </w:r>
    </w:p>
    <w:p w14:paraId="3173BD53" w14:textId="77777777" w:rsidR="004F5B16" w:rsidRDefault="003C56D6">
      <w:pPr>
        <w:pStyle w:val="Paragraphedeliste"/>
        <w:ind w:left="567"/>
        <w:jc w:val="both"/>
        <w:rPr>
          <w:lang w:val="en-US"/>
        </w:rPr>
      </w:pPr>
    </w:p>
    <w:p w14:paraId="2D187B87" w14:textId="784B751C" w:rsidR="00AB5E4C" w:rsidRDefault="006C3963" w:rsidP="00AB5E4C">
      <w:pPr>
        <w:pStyle w:val="Paragraphedeliste"/>
        <w:numPr>
          <w:ilvl w:val="1"/>
          <w:numId w:val="2"/>
        </w:numPr>
        <w:jc w:val="both"/>
        <w:rPr>
          <w:lang w:val="en-US"/>
        </w:rPr>
      </w:pPr>
      <w:r>
        <w:rPr>
          <w:lang w:val="en-US"/>
        </w:rPr>
        <w:t>Has your country ratified the Hague-Visby Rules or enacted these rules into their domestic legislatio</w:t>
      </w:r>
      <w:r w:rsidR="00AB5E4C">
        <w:rPr>
          <w:lang w:val="en-US"/>
        </w:rPr>
        <w:t>n?</w:t>
      </w:r>
    </w:p>
    <w:p w14:paraId="01D8BBC5" w14:textId="7294708F" w:rsidR="00AB5E4C" w:rsidRPr="00AB5E4C" w:rsidRDefault="00AB5E4C" w:rsidP="00AB5E4C">
      <w:pPr>
        <w:jc w:val="both"/>
        <w:rPr>
          <w:b/>
          <w:bCs/>
          <w:lang w:val="en-US"/>
        </w:rPr>
      </w:pPr>
      <w:r w:rsidRPr="00AB5E4C">
        <w:rPr>
          <w:b/>
          <w:bCs/>
          <w:lang w:val="en-US"/>
        </w:rPr>
        <w:t xml:space="preserve"> Yes, France has ratified the Hague- Visby Rules.</w:t>
      </w:r>
    </w:p>
    <w:p w14:paraId="7EA0A06F" w14:textId="77777777" w:rsidR="004F5B16" w:rsidRDefault="003C56D6">
      <w:pPr>
        <w:pStyle w:val="Paragraphedeliste"/>
        <w:ind w:left="1134"/>
        <w:jc w:val="both"/>
        <w:rPr>
          <w:lang w:val="en-US"/>
        </w:rPr>
      </w:pPr>
    </w:p>
    <w:p w14:paraId="7337AC92" w14:textId="43AF1576" w:rsidR="004F5B16" w:rsidRPr="00791F84" w:rsidRDefault="006C3963">
      <w:pPr>
        <w:pStyle w:val="Paragraphedeliste"/>
        <w:numPr>
          <w:ilvl w:val="1"/>
          <w:numId w:val="2"/>
        </w:numPr>
        <w:jc w:val="both"/>
        <w:rPr>
          <w:b/>
          <w:bCs/>
          <w:lang w:val="en-US"/>
        </w:rPr>
      </w:pPr>
      <w:r>
        <w:rPr>
          <w:lang w:val="en-US"/>
        </w:rPr>
        <w:t>If the answer to the previous question is in the affirmative, how are the relevant criteria as listed above (</w:t>
      </w:r>
      <w:r w:rsidRPr="00D2318F">
        <w:rPr>
          <w:b/>
          <w:lang w:val="en-US"/>
        </w:rPr>
        <w:t>II-V</w:t>
      </w:r>
      <w:r>
        <w:rPr>
          <w:lang w:val="en-US"/>
        </w:rPr>
        <w:t xml:space="preserve">) interpreted in the context of the respective provision </w:t>
      </w:r>
      <w:r w:rsidRPr="00791F84">
        <w:rPr>
          <w:lang w:val="en-US"/>
        </w:rPr>
        <w:t>incorporating art. IV (5)(e) of the Hague-Visby Rules?</w:t>
      </w:r>
    </w:p>
    <w:p w14:paraId="2ED71EEB" w14:textId="143033F7" w:rsidR="00AB5E4C" w:rsidRPr="00791F84" w:rsidRDefault="00AB5E4C" w:rsidP="00AB5E4C">
      <w:pPr>
        <w:jc w:val="both"/>
        <w:rPr>
          <w:b/>
          <w:bCs/>
          <w:lang w:val="en-US"/>
        </w:rPr>
      </w:pPr>
      <w:r w:rsidRPr="00791F84">
        <w:rPr>
          <w:b/>
          <w:bCs/>
          <w:lang w:val="en-US"/>
        </w:rPr>
        <w:t xml:space="preserve">In the same way. As already indicated in point 10 Above, the ‘’Ethnos’’ concerned a sea carriage and the decision of the </w:t>
      </w:r>
      <w:proofErr w:type="spellStart"/>
      <w:r w:rsidRPr="00791F84">
        <w:rPr>
          <w:b/>
          <w:bCs/>
          <w:lang w:val="en-US"/>
        </w:rPr>
        <w:t>Cour</w:t>
      </w:r>
      <w:proofErr w:type="spellEnd"/>
      <w:r w:rsidRPr="00791F84">
        <w:rPr>
          <w:b/>
          <w:bCs/>
          <w:lang w:val="en-US"/>
        </w:rPr>
        <w:t xml:space="preserve"> de Cassation was rendered in the framework of article of article 4-5 of the Hague-Visby Rules.</w:t>
      </w:r>
    </w:p>
    <w:p w14:paraId="39E44CC2" w14:textId="77777777" w:rsidR="0085565A" w:rsidRPr="0085565A" w:rsidRDefault="003C56D6" w:rsidP="00514F5B">
      <w:pPr>
        <w:jc w:val="both"/>
        <w:rPr>
          <w:lang w:val="en-US"/>
        </w:rPr>
      </w:pPr>
    </w:p>
    <w:sectPr w:rsidR="0085565A" w:rsidRPr="0085565A" w:rsidSect="00706D67">
      <w:headerReference w:type="default" r:id="rId8"/>
      <w:footerReference w:type="even"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8D11D" w14:textId="77777777" w:rsidR="003C56D6" w:rsidRDefault="003C56D6" w:rsidP="00472067">
      <w:pPr>
        <w:spacing w:after="0" w:line="240" w:lineRule="auto"/>
      </w:pPr>
      <w:r>
        <w:separator/>
      </w:r>
    </w:p>
  </w:endnote>
  <w:endnote w:type="continuationSeparator" w:id="0">
    <w:p w14:paraId="6972725F" w14:textId="77777777" w:rsidR="003C56D6" w:rsidRDefault="003C56D6" w:rsidP="0047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48624" w14:textId="77777777" w:rsidR="00472067" w:rsidRPr="00472067" w:rsidRDefault="00472067" w:rsidP="00472067">
    <w:pPr>
      <w:pStyle w:val="Pieddepage"/>
      <w:rPr>
        <w:rFonts w:ascii="Tahoma" w:hAnsi="Tahoma"/>
        <w:smallCaps/>
        <w:noProof/>
        <w:color w:val="404040"/>
        <w:sz w:val="16"/>
      </w:rPr>
    </w:pPr>
    <w:r>
      <w:rPr>
        <w:rFonts w:ascii="Tahoma" w:hAnsi="Tahoma"/>
        <w:smallCaps/>
        <w:noProof/>
        <w:color w:val="404040"/>
        <w:sz w:val="16"/>
      </w:rPr>
      <w:fldChar w:fldCharType="begin"/>
    </w:r>
    <w:r>
      <w:rPr>
        <w:rFonts w:ascii="Tahoma" w:hAnsi="Tahoma"/>
        <w:smallCaps/>
        <w:noProof/>
        <w:color w:val="404040"/>
        <w:sz w:val="16"/>
      </w:rPr>
      <w:instrText xml:space="preserve"> DOCPROPERTY "wsDANIOLOS"  \* MERGEFORMAT </w:instrText>
    </w:r>
    <w:r>
      <w:rPr>
        <w:rFonts w:ascii="Tahoma" w:hAnsi="Tahoma"/>
        <w:smallCaps/>
        <w:noProof/>
        <w:color w:val="404040"/>
        <w:sz w:val="16"/>
      </w:rPr>
      <w:fldChar w:fldCharType="separate"/>
    </w:r>
    <w:r w:rsidR="00D77622">
      <w:rPr>
        <w:rFonts w:ascii="Tahoma" w:hAnsi="Tahoma"/>
        <w:smallCaps/>
        <w:noProof/>
        <w:color w:val="404040"/>
        <w:sz w:val="16"/>
      </w:rPr>
      <w:t>DANIOLOS Law Firm ref. num.: 1.466.359</w:t>
    </w:r>
    <w:r>
      <w:rPr>
        <w:rFonts w:ascii="Tahoma" w:hAnsi="Tahoma"/>
        <w:smallCaps/>
        <w:noProof/>
        <w:color w:val="40404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AC826" w14:textId="77777777" w:rsidR="00472067" w:rsidRPr="00472067" w:rsidRDefault="00472067" w:rsidP="00472067">
    <w:pPr>
      <w:pStyle w:val="Pieddepage"/>
      <w:rPr>
        <w:rFonts w:ascii="Tahoma" w:hAnsi="Tahoma"/>
        <w:smallCaps/>
        <w:noProof/>
        <w:color w:val="404040"/>
        <w:sz w:val="16"/>
      </w:rPr>
    </w:pPr>
    <w:r>
      <w:rPr>
        <w:rFonts w:ascii="Tahoma" w:hAnsi="Tahoma"/>
        <w:smallCaps/>
        <w:noProof/>
        <w:color w:val="404040"/>
        <w:sz w:val="16"/>
      </w:rPr>
      <w:fldChar w:fldCharType="begin"/>
    </w:r>
    <w:r>
      <w:rPr>
        <w:rFonts w:ascii="Tahoma" w:hAnsi="Tahoma"/>
        <w:smallCaps/>
        <w:noProof/>
        <w:color w:val="404040"/>
        <w:sz w:val="16"/>
      </w:rPr>
      <w:instrText xml:space="preserve"> DOCPROPERTY "wsDANIOLOS"  \* MERGEFORMAT </w:instrText>
    </w:r>
    <w:r>
      <w:rPr>
        <w:rFonts w:ascii="Tahoma" w:hAnsi="Tahoma"/>
        <w:smallCaps/>
        <w:noProof/>
        <w:color w:val="404040"/>
        <w:sz w:val="16"/>
      </w:rPr>
      <w:fldChar w:fldCharType="separate"/>
    </w:r>
    <w:r w:rsidR="00D77622">
      <w:rPr>
        <w:rFonts w:ascii="Tahoma" w:hAnsi="Tahoma"/>
        <w:smallCaps/>
        <w:noProof/>
        <w:color w:val="404040"/>
        <w:sz w:val="16"/>
      </w:rPr>
      <w:t>DANIOLOS Law Firm ref. num.: 1.466.359</w:t>
    </w:r>
    <w:r>
      <w:rPr>
        <w:rFonts w:ascii="Tahoma" w:hAnsi="Tahoma"/>
        <w:smallCaps/>
        <w:noProof/>
        <w:color w:val="40404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8573B" w14:textId="77777777" w:rsidR="003C56D6" w:rsidRDefault="003C56D6" w:rsidP="00472067">
      <w:pPr>
        <w:spacing w:after="0" w:line="240" w:lineRule="auto"/>
      </w:pPr>
      <w:r>
        <w:separator/>
      </w:r>
    </w:p>
  </w:footnote>
  <w:footnote w:type="continuationSeparator" w:id="0">
    <w:p w14:paraId="60DC22F8" w14:textId="77777777" w:rsidR="003C56D6" w:rsidRDefault="003C56D6" w:rsidP="00472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FD929" w14:textId="77777777" w:rsidR="009C2DC2" w:rsidRPr="009C2DC2" w:rsidRDefault="009C2DC2" w:rsidP="009C2DC2">
    <w:pPr>
      <w:pStyle w:val="En-tte"/>
      <w:jc w:val="right"/>
      <w:rPr>
        <w:sz w:val="16"/>
        <w:szCs w:val="16"/>
        <w:lang w:val="en-GB"/>
      </w:rPr>
    </w:pPr>
    <w:r w:rsidRPr="009C2DC2">
      <w:rPr>
        <w:sz w:val="16"/>
        <w:szCs w:val="16"/>
        <w:lang w:val="en-GB"/>
      </w:rPr>
      <w:t>IWG Unified Interpretation; Questionnaire Final Draft v1 13.02.2020</w:t>
    </w:r>
  </w:p>
  <w:p w14:paraId="025AB265" w14:textId="77777777" w:rsidR="009C2DC2" w:rsidRDefault="009C2D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816EE"/>
    <w:multiLevelType w:val="multilevel"/>
    <w:tmpl w:val="7FB6CF2A"/>
    <w:lvl w:ilvl="0">
      <w:start w:val="1"/>
      <w:numFmt w:val="decimal"/>
      <w:lvlText w:val="%1."/>
      <w:lvlJc w:val="left"/>
      <w:pPr>
        <w:ind w:left="567" w:hanging="567"/>
      </w:pPr>
      <w:rPr>
        <w:rFonts w:hint="default"/>
        <w:b w:val="0"/>
      </w:rPr>
    </w:lvl>
    <w:lvl w:ilvl="1">
      <w:start w:val="1"/>
      <w:numFmt w:val="lowerLetter"/>
      <w:lvlText w:val="%1%2."/>
      <w:lvlJc w:val="left"/>
      <w:pPr>
        <w:ind w:left="1134" w:hanging="567"/>
      </w:pPr>
      <w:rPr>
        <w:rFonts w:hint="default"/>
        <w:b w:val="0"/>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5ED1FBE"/>
    <w:multiLevelType w:val="hybridMultilevel"/>
    <w:tmpl w:val="DC44BE5C"/>
    <w:lvl w:ilvl="0" w:tplc="5F2C9A3C">
      <w:start w:val="1"/>
      <w:numFmt w:val="upperRoman"/>
      <w:pStyle w:val="Titre1"/>
      <w:lvlText w:val="%1."/>
      <w:lvlJc w:val="right"/>
      <w:pPr>
        <w:ind w:left="720" w:hanging="360"/>
      </w:pPr>
    </w:lvl>
    <w:lvl w:ilvl="1" w:tplc="6DA25976" w:tentative="1">
      <w:start w:val="1"/>
      <w:numFmt w:val="lowerLetter"/>
      <w:lvlText w:val="%2."/>
      <w:lvlJc w:val="left"/>
      <w:pPr>
        <w:ind w:left="1440" w:hanging="360"/>
      </w:pPr>
    </w:lvl>
    <w:lvl w:ilvl="2" w:tplc="60BA1F22" w:tentative="1">
      <w:start w:val="1"/>
      <w:numFmt w:val="lowerRoman"/>
      <w:lvlText w:val="%3."/>
      <w:lvlJc w:val="right"/>
      <w:pPr>
        <w:ind w:left="2160" w:hanging="180"/>
      </w:pPr>
    </w:lvl>
    <w:lvl w:ilvl="3" w:tplc="A5F65E2C" w:tentative="1">
      <w:start w:val="1"/>
      <w:numFmt w:val="decimal"/>
      <w:lvlText w:val="%4."/>
      <w:lvlJc w:val="left"/>
      <w:pPr>
        <w:ind w:left="2880" w:hanging="360"/>
      </w:pPr>
    </w:lvl>
    <w:lvl w:ilvl="4" w:tplc="35D8191C" w:tentative="1">
      <w:start w:val="1"/>
      <w:numFmt w:val="lowerLetter"/>
      <w:lvlText w:val="%5."/>
      <w:lvlJc w:val="left"/>
      <w:pPr>
        <w:ind w:left="3600" w:hanging="360"/>
      </w:pPr>
    </w:lvl>
    <w:lvl w:ilvl="5" w:tplc="8814119C" w:tentative="1">
      <w:start w:val="1"/>
      <w:numFmt w:val="lowerRoman"/>
      <w:lvlText w:val="%6."/>
      <w:lvlJc w:val="right"/>
      <w:pPr>
        <w:ind w:left="4320" w:hanging="180"/>
      </w:pPr>
    </w:lvl>
    <w:lvl w:ilvl="6" w:tplc="E602A14E" w:tentative="1">
      <w:start w:val="1"/>
      <w:numFmt w:val="decimal"/>
      <w:lvlText w:val="%7."/>
      <w:lvlJc w:val="left"/>
      <w:pPr>
        <w:ind w:left="5040" w:hanging="360"/>
      </w:pPr>
    </w:lvl>
    <w:lvl w:ilvl="7" w:tplc="C742D150" w:tentative="1">
      <w:start w:val="1"/>
      <w:numFmt w:val="lowerLetter"/>
      <w:lvlText w:val="%8."/>
      <w:lvlJc w:val="left"/>
      <w:pPr>
        <w:ind w:left="5760" w:hanging="360"/>
      </w:pPr>
    </w:lvl>
    <w:lvl w:ilvl="8" w:tplc="774C3B66" w:tentative="1">
      <w:start w:val="1"/>
      <w:numFmt w:val="lowerRoman"/>
      <w:lvlText w:val="%9."/>
      <w:lvlJc w:val="right"/>
      <w:pPr>
        <w:ind w:left="6480" w:hanging="180"/>
      </w:pPr>
    </w:lvl>
  </w:abstractNum>
  <w:abstractNum w:abstractNumId="2" w15:restartNumberingAfterBreak="0">
    <w:nsid w:val="40DD2F7D"/>
    <w:multiLevelType w:val="hybridMultilevel"/>
    <w:tmpl w:val="B074D6FA"/>
    <w:lvl w:ilvl="0" w:tplc="A18CE3FA">
      <w:start w:val="1"/>
      <w:numFmt w:val="upperRoman"/>
      <w:lvlText w:val="%1."/>
      <w:lvlJc w:val="left"/>
      <w:pPr>
        <w:ind w:left="1080" w:hanging="720"/>
      </w:pPr>
      <w:rPr>
        <w:rFonts w:hint="default"/>
        <w:b/>
      </w:rPr>
    </w:lvl>
    <w:lvl w:ilvl="1" w:tplc="9814D468" w:tentative="1">
      <w:start w:val="1"/>
      <w:numFmt w:val="lowerLetter"/>
      <w:lvlText w:val="%2."/>
      <w:lvlJc w:val="left"/>
      <w:pPr>
        <w:ind w:left="1440" w:hanging="360"/>
      </w:pPr>
    </w:lvl>
    <w:lvl w:ilvl="2" w:tplc="2BB2C670" w:tentative="1">
      <w:start w:val="1"/>
      <w:numFmt w:val="lowerRoman"/>
      <w:lvlText w:val="%3."/>
      <w:lvlJc w:val="right"/>
      <w:pPr>
        <w:ind w:left="2160" w:hanging="180"/>
      </w:pPr>
    </w:lvl>
    <w:lvl w:ilvl="3" w:tplc="5036B434" w:tentative="1">
      <w:start w:val="1"/>
      <w:numFmt w:val="decimal"/>
      <w:lvlText w:val="%4."/>
      <w:lvlJc w:val="left"/>
      <w:pPr>
        <w:ind w:left="2880" w:hanging="360"/>
      </w:pPr>
    </w:lvl>
    <w:lvl w:ilvl="4" w:tplc="DA0C9164" w:tentative="1">
      <w:start w:val="1"/>
      <w:numFmt w:val="lowerLetter"/>
      <w:lvlText w:val="%5."/>
      <w:lvlJc w:val="left"/>
      <w:pPr>
        <w:ind w:left="3600" w:hanging="360"/>
      </w:pPr>
    </w:lvl>
    <w:lvl w:ilvl="5" w:tplc="57108060" w:tentative="1">
      <w:start w:val="1"/>
      <w:numFmt w:val="lowerRoman"/>
      <w:lvlText w:val="%6."/>
      <w:lvlJc w:val="right"/>
      <w:pPr>
        <w:ind w:left="4320" w:hanging="180"/>
      </w:pPr>
    </w:lvl>
    <w:lvl w:ilvl="6" w:tplc="69101950" w:tentative="1">
      <w:start w:val="1"/>
      <w:numFmt w:val="decimal"/>
      <w:lvlText w:val="%7."/>
      <w:lvlJc w:val="left"/>
      <w:pPr>
        <w:ind w:left="5040" w:hanging="360"/>
      </w:pPr>
    </w:lvl>
    <w:lvl w:ilvl="7" w:tplc="6A6640E2" w:tentative="1">
      <w:start w:val="1"/>
      <w:numFmt w:val="lowerLetter"/>
      <w:lvlText w:val="%8."/>
      <w:lvlJc w:val="left"/>
      <w:pPr>
        <w:ind w:left="5760" w:hanging="360"/>
      </w:pPr>
    </w:lvl>
    <w:lvl w:ilvl="8" w:tplc="8398DF56" w:tentative="1">
      <w:start w:val="1"/>
      <w:numFmt w:val="lowerRoman"/>
      <w:lvlText w:val="%9."/>
      <w:lvlJc w:val="right"/>
      <w:pPr>
        <w:ind w:left="6480" w:hanging="180"/>
      </w:pPr>
    </w:lvl>
  </w:abstractNum>
  <w:abstractNum w:abstractNumId="3" w15:restartNumberingAfterBreak="0">
    <w:nsid w:val="68A25288"/>
    <w:multiLevelType w:val="hybridMultilevel"/>
    <w:tmpl w:val="D0889218"/>
    <w:lvl w:ilvl="0" w:tplc="9BC4529E">
      <w:start w:val="1"/>
      <w:numFmt w:val="lowerLetter"/>
      <w:lvlText w:val="%1."/>
      <w:lvlJc w:val="left"/>
      <w:pPr>
        <w:ind w:left="1800" w:hanging="360"/>
      </w:pPr>
    </w:lvl>
    <w:lvl w:ilvl="1" w:tplc="D9308F18" w:tentative="1">
      <w:start w:val="1"/>
      <w:numFmt w:val="lowerLetter"/>
      <w:lvlText w:val="%2."/>
      <w:lvlJc w:val="left"/>
      <w:pPr>
        <w:ind w:left="2520" w:hanging="360"/>
      </w:pPr>
    </w:lvl>
    <w:lvl w:ilvl="2" w:tplc="175A2862" w:tentative="1">
      <w:start w:val="1"/>
      <w:numFmt w:val="lowerRoman"/>
      <w:lvlText w:val="%3."/>
      <w:lvlJc w:val="right"/>
      <w:pPr>
        <w:ind w:left="3240" w:hanging="180"/>
      </w:pPr>
    </w:lvl>
    <w:lvl w:ilvl="3" w:tplc="9946B76E">
      <w:start w:val="1"/>
      <w:numFmt w:val="decimal"/>
      <w:lvlText w:val="%4."/>
      <w:lvlJc w:val="left"/>
      <w:pPr>
        <w:ind w:left="3960" w:hanging="360"/>
      </w:pPr>
    </w:lvl>
    <w:lvl w:ilvl="4" w:tplc="66008D3E">
      <w:start w:val="1"/>
      <w:numFmt w:val="lowerLetter"/>
      <w:lvlText w:val="%5."/>
      <w:lvlJc w:val="left"/>
      <w:pPr>
        <w:ind w:left="502" w:hanging="360"/>
      </w:pPr>
    </w:lvl>
    <w:lvl w:ilvl="5" w:tplc="12E42186" w:tentative="1">
      <w:start w:val="1"/>
      <w:numFmt w:val="lowerRoman"/>
      <w:lvlText w:val="%6."/>
      <w:lvlJc w:val="right"/>
      <w:pPr>
        <w:ind w:left="5400" w:hanging="180"/>
      </w:pPr>
    </w:lvl>
    <w:lvl w:ilvl="6" w:tplc="543AA112" w:tentative="1">
      <w:start w:val="1"/>
      <w:numFmt w:val="decimal"/>
      <w:lvlText w:val="%7."/>
      <w:lvlJc w:val="left"/>
      <w:pPr>
        <w:ind w:left="6120" w:hanging="360"/>
      </w:pPr>
    </w:lvl>
    <w:lvl w:ilvl="7" w:tplc="96B8A63A" w:tentative="1">
      <w:start w:val="1"/>
      <w:numFmt w:val="lowerLetter"/>
      <w:lvlText w:val="%8."/>
      <w:lvlJc w:val="left"/>
      <w:pPr>
        <w:ind w:left="6840" w:hanging="360"/>
      </w:pPr>
    </w:lvl>
    <w:lvl w:ilvl="8" w:tplc="965A9582"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67"/>
    <w:rsid w:val="00006E11"/>
    <w:rsid w:val="00022157"/>
    <w:rsid w:val="000264B3"/>
    <w:rsid w:val="00057AB3"/>
    <w:rsid w:val="000C343D"/>
    <w:rsid w:val="000E76D6"/>
    <w:rsid w:val="00102B7A"/>
    <w:rsid w:val="001123AA"/>
    <w:rsid w:val="0012321B"/>
    <w:rsid w:val="001622CD"/>
    <w:rsid w:val="00180A59"/>
    <w:rsid w:val="001A0EFC"/>
    <w:rsid w:val="001F5581"/>
    <w:rsid w:val="001F6BF7"/>
    <w:rsid w:val="002015DA"/>
    <w:rsid w:val="0022097A"/>
    <w:rsid w:val="00234768"/>
    <w:rsid w:val="002B3FD9"/>
    <w:rsid w:val="002E73FB"/>
    <w:rsid w:val="00385B01"/>
    <w:rsid w:val="003A4C4E"/>
    <w:rsid w:val="003C56D6"/>
    <w:rsid w:val="003D2274"/>
    <w:rsid w:val="003F6AA5"/>
    <w:rsid w:val="0041517C"/>
    <w:rsid w:val="00415458"/>
    <w:rsid w:val="00433C26"/>
    <w:rsid w:val="00467BF0"/>
    <w:rsid w:val="00472067"/>
    <w:rsid w:val="00481346"/>
    <w:rsid w:val="0052775A"/>
    <w:rsid w:val="0060793F"/>
    <w:rsid w:val="0063366C"/>
    <w:rsid w:val="006608A4"/>
    <w:rsid w:val="00674D6D"/>
    <w:rsid w:val="006A64BF"/>
    <w:rsid w:val="006C3963"/>
    <w:rsid w:val="0076390A"/>
    <w:rsid w:val="00771426"/>
    <w:rsid w:val="007907FB"/>
    <w:rsid w:val="0079084E"/>
    <w:rsid w:val="00791F84"/>
    <w:rsid w:val="00840E9D"/>
    <w:rsid w:val="00891C2F"/>
    <w:rsid w:val="00892B44"/>
    <w:rsid w:val="008C6CE0"/>
    <w:rsid w:val="008F64C3"/>
    <w:rsid w:val="00916C57"/>
    <w:rsid w:val="00950B5D"/>
    <w:rsid w:val="009A5322"/>
    <w:rsid w:val="009B57F8"/>
    <w:rsid w:val="009C2DC2"/>
    <w:rsid w:val="00A012A7"/>
    <w:rsid w:val="00A412AB"/>
    <w:rsid w:val="00A51BBA"/>
    <w:rsid w:val="00A56C65"/>
    <w:rsid w:val="00A97BDE"/>
    <w:rsid w:val="00AB5E4C"/>
    <w:rsid w:val="00B23DC5"/>
    <w:rsid w:val="00B3351A"/>
    <w:rsid w:val="00B3686F"/>
    <w:rsid w:val="00B41556"/>
    <w:rsid w:val="00B77F15"/>
    <w:rsid w:val="00C156C8"/>
    <w:rsid w:val="00CA796A"/>
    <w:rsid w:val="00CC1B59"/>
    <w:rsid w:val="00CC7FDD"/>
    <w:rsid w:val="00D15163"/>
    <w:rsid w:val="00D30089"/>
    <w:rsid w:val="00D41BF3"/>
    <w:rsid w:val="00D76DBB"/>
    <w:rsid w:val="00D77622"/>
    <w:rsid w:val="00DD3971"/>
    <w:rsid w:val="00DF2C4A"/>
    <w:rsid w:val="00E369B4"/>
    <w:rsid w:val="00E4112E"/>
    <w:rsid w:val="00E90DB5"/>
    <w:rsid w:val="00F02750"/>
    <w:rsid w:val="00F75BBC"/>
    <w:rsid w:val="00FC5A0F"/>
    <w:rsid w:val="00FC5BC9"/>
    <w:rsid w:val="00FE0FA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3937"/>
  <w15:docId w15:val="{146949BC-C451-48E0-A531-2260CBCD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67C"/>
  </w:style>
  <w:style w:type="paragraph" w:styleId="Titre1">
    <w:name w:val="heading 1"/>
    <w:basedOn w:val="Normal"/>
    <w:next w:val="Normal"/>
    <w:link w:val="Titre1Car"/>
    <w:uiPriority w:val="9"/>
    <w:qFormat/>
    <w:rsid w:val="00D97EBD"/>
    <w:pPr>
      <w:keepNext/>
      <w:keepLines/>
      <w:numPr>
        <w:numId w:val="1"/>
      </w:numPr>
      <w:spacing w:before="240" w:after="240"/>
      <w:ind w:left="714" w:hanging="357"/>
      <w:outlineLvl w:val="0"/>
    </w:pPr>
    <w:rPr>
      <w:rFonts w:ascii="Times New Roman" w:eastAsiaTheme="majorEastAsia" w:hAnsi="Times New Roman" w:cstheme="majorBidi"/>
      <w:b/>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7EBD"/>
    <w:rPr>
      <w:rFonts w:ascii="Times New Roman" w:eastAsiaTheme="majorEastAsia" w:hAnsi="Times New Roman" w:cstheme="majorBidi"/>
      <w:b/>
      <w:sz w:val="24"/>
      <w:szCs w:val="32"/>
    </w:rPr>
  </w:style>
  <w:style w:type="paragraph" w:styleId="Paragraphedeliste">
    <w:name w:val="List Paragraph"/>
    <w:basedOn w:val="Normal"/>
    <w:uiPriority w:val="34"/>
    <w:qFormat/>
    <w:rsid w:val="00315CE5"/>
    <w:pPr>
      <w:ind w:left="720"/>
      <w:contextualSpacing/>
    </w:pPr>
  </w:style>
  <w:style w:type="character" w:styleId="Marquedecommentaire">
    <w:name w:val="annotation reference"/>
    <w:basedOn w:val="Policepardfaut"/>
    <w:uiPriority w:val="99"/>
    <w:semiHidden/>
    <w:unhideWhenUsed/>
    <w:rsid w:val="00DB2E7C"/>
    <w:rPr>
      <w:sz w:val="16"/>
      <w:szCs w:val="16"/>
    </w:rPr>
  </w:style>
  <w:style w:type="paragraph" w:styleId="Commentaire">
    <w:name w:val="annotation text"/>
    <w:basedOn w:val="Normal"/>
    <w:link w:val="CommentaireCar"/>
    <w:uiPriority w:val="99"/>
    <w:semiHidden/>
    <w:unhideWhenUsed/>
    <w:rsid w:val="00DB2E7C"/>
    <w:pPr>
      <w:spacing w:line="240" w:lineRule="auto"/>
    </w:pPr>
    <w:rPr>
      <w:sz w:val="20"/>
      <w:szCs w:val="20"/>
    </w:rPr>
  </w:style>
  <w:style w:type="character" w:customStyle="1" w:styleId="CommentaireCar">
    <w:name w:val="Commentaire Car"/>
    <w:basedOn w:val="Policepardfaut"/>
    <w:link w:val="Commentaire"/>
    <w:uiPriority w:val="99"/>
    <w:semiHidden/>
    <w:rsid w:val="00DB2E7C"/>
    <w:rPr>
      <w:sz w:val="20"/>
      <w:szCs w:val="20"/>
    </w:rPr>
  </w:style>
  <w:style w:type="paragraph" w:styleId="Objetducommentaire">
    <w:name w:val="annotation subject"/>
    <w:basedOn w:val="Commentaire"/>
    <w:next w:val="Commentaire"/>
    <w:link w:val="ObjetducommentaireCar"/>
    <w:uiPriority w:val="99"/>
    <w:semiHidden/>
    <w:unhideWhenUsed/>
    <w:rsid w:val="00DB2E7C"/>
    <w:rPr>
      <w:b/>
      <w:bCs/>
    </w:rPr>
  </w:style>
  <w:style w:type="character" w:customStyle="1" w:styleId="ObjetducommentaireCar">
    <w:name w:val="Objet du commentaire Car"/>
    <w:basedOn w:val="CommentaireCar"/>
    <w:link w:val="Objetducommentaire"/>
    <w:uiPriority w:val="99"/>
    <w:semiHidden/>
    <w:rsid w:val="00DB2E7C"/>
    <w:rPr>
      <w:b/>
      <w:bCs/>
      <w:sz w:val="20"/>
      <w:szCs w:val="20"/>
    </w:rPr>
  </w:style>
  <w:style w:type="paragraph" w:styleId="Textedebulles">
    <w:name w:val="Balloon Text"/>
    <w:basedOn w:val="Normal"/>
    <w:link w:val="TextedebullesCar"/>
    <w:uiPriority w:val="99"/>
    <w:semiHidden/>
    <w:unhideWhenUsed/>
    <w:rsid w:val="00DB2E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2E7C"/>
    <w:rPr>
      <w:rFonts w:ascii="Segoe UI" w:hAnsi="Segoe UI" w:cs="Segoe UI"/>
      <w:sz w:val="18"/>
      <w:szCs w:val="18"/>
    </w:rPr>
  </w:style>
  <w:style w:type="paragraph" w:styleId="Rvision">
    <w:name w:val="Revision"/>
    <w:hidden/>
    <w:uiPriority w:val="99"/>
    <w:semiHidden/>
    <w:rsid w:val="008A5F79"/>
    <w:pPr>
      <w:spacing w:after="0" w:line="240" w:lineRule="auto"/>
    </w:pPr>
  </w:style>
  <w:style w:type="paragraph" w:styleId="En-tte">
    <w:name w:val="header"/>
    <w:basedOn w:val="Normal"/>
    <w:link w:val="En-tteCar"/>
    <w:uiPriority w:val="99"/>
    <w:unhideWhenUsed/>
    <w:rsid w:val="00472067"/>
    <w:pPr>
      <w:tabs>
        <w:tab w:val="center" w:pos="4153"/>
        <w:tab w:val="right" w:pos="8306"/>
      </w:tabs>
      <w:spacing w:after="0" w:line="240" w:lineRule="auto"/>
    </w:pPr>
  </w:style>
  <w:style w:type="character" w:customStyle="1" w:styleId="En-tteCar">
    <w:name w:val="En-tête Car"/>
    <w:basedOn w:val="Policepardfaut"/>
    <w:link w:val="En-tte"/>
    <w:uiPriority w:val="99"/>
    <w:rsid w:val="00472067"/>
  </w:style>
  <w:style w:type="paragraph" w:styleId="Pieddepage">
    <w:name w:val="footer"/>
    <w:basedOn w:val="Normal"/>
    <w:link w:val="PieddepageCar"/>
    <w:uiPriority w:val="99"/>
    <w:unhideWhenUsed/>
    <w:rsid w:val="0047206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72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959C3-55CE-436B-84BD-6E4C8825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2121</Words>
  <Characters>11669</Characters>
  <Application>Microsoft Office Word</Application>
  <DocSecurity>0</DocSecurity>
  <Lines>97</Lines>
  <Paragraphs>27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CMI</vt:lpstr>
      <vt: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dc:title>
  <dc:creator>LG</dc:creator>
  <cp:lastModifiedBy>LG</cp:lastModifiedBy>
  <cp:revision>13</cp:revision>
  <dcterms:created xsi:type="dcterms:W3CDTF">2020-11-15T11:40:00Z</dcterms:created>
  <dcterms:modified xsi:type="dcterms:W3CDTF">2021-01-18T17:56:00Z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DANIOLOS">
    <vt:lpwstr>DANIOLOS Law Firm ref. num.: 1.466.359</vt:lpwstr>
  </property>
</Properties>
</file>