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D78" w:rsidRDefault="007E1D78" w:rsidP="007E1D78">
      <w:pPr>
        <w:ind w:leftChars="-59" w:left="-142" w:rightChars="-59" w:right="-142"/>
        <w:jc w:val="center"/>
        <w:rPr>
          <w:b/>
          <w:sz w:val="28"/>
        </w:rPr>
      </w:pPr>
      <w:r>
        <w:rPr>
          <w:b/>
          <w:sz w:val="28"/>
        </w:rPr>
        <w:t>Standing Committee on Carriage of Goods (including Rotterdam Rules)</w:t>
      </w:r>
    </w:p>
    <w:p w:rsidR="003801CF" w:rsidRDefault="003801CF" w:rsidP="007E1D78">
      <w:pPr>
        <w:jc w:val="center"/>
        <w:rPr>
          <w:b/>
          <w:sz w:val="28"/>
        </w:rPr>
      </w:pPr>
    </w:p>
    <w:p w:rsidR="007E1D78" w:rsidRDefault="003801CF" w:rsidP="007E1D78">
      <w:pPr>
        <w:jc w:val="center"/>
        <w:rPr>
          <w:b/>
          <w:sz w:val="28"/>
        </w:rPr>
      </w:pPr>
      <w:r w:rsidRPr="00850A38">
        <w:t>17:00-19:00 in IMO Building on November 9, 2018</w:t>
      </w:r>
    </w:p>
    <w:p w:rsidR="007E1D78" w:rsidRDefault="007E1D78" w:rsidP="007E1D78"/>
    <w:p w:rsidR="007E1D78" w:rsidRDefault="007E1D78" w:rsidP="007E1D78"/>
    <w:p w:rsidR="00BB2A86" w:rsidRDefault="007E1D78" w:rsidP="007E1D78">
      <w:pPr>
        <w:rPr>
          <w:lang w:val="en-GB"/>
        </w:rPr>
      </w:pPr>
      <w:r>
        <w:rPr>
          <w:lang w:val="en-GB"/>
        </w:rPr>
        <w:t>“</w:t>
      </w:r>
      <w:r w:rsidR="00850A38">
        <w:rPr>
          <w:rFonts w:hint="eastAsia"/>
          <w:lang w:val="en-GB"/>
        </w:rPr>
        <w:t>B</w:t>
      </w:r>
      <w:r>
        <w:rPr>
          <w:lang w:val="en-GB"/>
        </w:rPr>
        <w:t>lockchain”</w:t>
      </w:r>
      <w:r w:rsidR="00521289">
        <w:rPr>
          <w:lang w:val="en-GB"/>
        </w:rPr>
        <w:t xml:space="preserve"> technology, which provides the basis for virtual currency such as “bitcoin”, </w:t>
      </w:r>
      <w:r>
        <w:rPr>
          <w:lang w:val="en-GB"/>
        </w:rPr>
        <w:t xml:space="preserve">may be available to </w:t>
      </w:r>
      <w:r w:rsidR="0046280C" w:rsidRPr="004D1E1A">
        <w:rPr>
          <w:lang w:val="en-GB"/>
        </w:rPr>
        <w:t>create a new type of electronic bills of lading</w:t>
      </w:r>
      <w:r>
        <w:rPr>
          <w:lang w:val="en-GB"/>
        </w:rPr>
        <w:t>.</w:t>
      </w:r>
      <w:r w:rsidR="00BB2A86" w:rsidRPr="00BB2A86">
        <w:rPr>
          <w:lang w:val="en-GB"/>
        </w:rPr>
        <w:t xml:space="preserve"> </w:t>
      </w:r>
      <w:r w:rsidR="00BB2A86">
        <w:rPr>
          <w:lang w:val="en-GB"/>
        </w:rPr>
        <w:t>“Blockchain” can guarantee the “uniqueness” of the digital data and may provide the basis of “token” type of electronic bills of lading.</w:t>
      </w:r>
      <w:r w:rsidR="00850A38">
        <w:rPr>
          <w:rStyle w:val="a5"/>
          <w:lang w:val="en-GB"/>
        </w:rPr>
        <w:footnoteReference w:id="1"/>
      </w:r>
      <w:r w:rsidR="007B3490">
        <w:rPr>
          <w:lang w:val="en-GB"/>
        </w:rPr>
        <w:t xml:space="preserve"> </w:t>
      </w:r>
      <w:r w:rsidR="00850A38">
        <w:rPr>
          <w:lang w:val="en-GB"/>
        </w:rPr>
        <w:t xml:space="preserve">There are various </w:t>
      </w:r>
      <w:r w:rsidR="0046280C">
        <w:rPr>
          <w:lang w:val="en-GB"/>
        </w:rPr>
        <w:t>experimental projects under way in several places of the world</w:t>
      </w:r>
      <w:r w:rsidR="00A72BA5">
        <w:rPr>
          <w:lang w:val="en-GB"/>
        </w:rPr>
        <w:t>.</w:t>
      </w:r>
      <w:r w:rsidR="0046280C">
        <w:rPr>
          <w:rStyle w:val="a5"/>
          <w:lang w:val="en-GB"/>
        </w:rPr>
        <w:footnoteReference w:id="2"/>
      </w:r>
      <w:r w:rsidR="0046280C">
        <w:rPr>
          <w:lang w:val="en-GB"/>
        </w:rPr>
        <w:t xml:space="preserve"> </w:t>
      </w:r>
    </w:p>
    <w:p w:rsidR="00BB2A86" w:rsidRPr="00135051" w:rsidRDefault="00135051" w:rsidP="003801CF">
      <w:r>
        <w:t>Given the recent developments of the electronic bills of lading based on the blockchain technology, it is very important to examine whether and to what extent the current international legal regime on carriage of goods can support such developments.</w:t>
      </w:r>
      <w:r>
        <w:rPr>
          <w:rFonts w:hint="eastAsia"/>
        </w:rPr>
        <w:t xml:space="preserve"> </w:t>
      </w:r>
      <w:r w:rsidR="003801CF">
        <w:t xml:space="preserve">CMI Standing Committee on Carriage of Goods will </w:t>
      </w:r>
      <w:r>
        <w:t>meet</w:t>
      </w:r>
      <w:r w:rsidR="003801CF">
        <w:t xml:space="preserve"> at London </w:t>
      </w:r>
      <w:r>
        <w:t xml:space="preserve">(after the CMI Assembly) </w:t>
      </w:r>
      <w:r w:rsidR="003801CF">
        <w:t xml:space="preserve">to explore the </w:t>
      </w:r>
      <w:r>
        <w:t>issue.</w:t>
      </w:r>
      <w:r w:rsidRPr="00135051">
        <w:t xml:space="preserve"> </w:t>
      </w:r>
      <w:r>
        <w:t>More specifically, inviting the experts in this field, it will explore</w:t>
      </w:r>
      <w:bookmarkStart w:id="0" w:name="_GoBack"/>
      <w:bookmarkEnd w:id="0"/>
      <w:r>
        <w:t xml:space="preserve"> the possibility of the “blockchain bills of lading”, especially in the light of the regulation negotiable transport records under the Rotterdam Rules and other relevant international instruments.</w:t>
      </w:r>
    </w:p>
    <w:p w:rsidR="003801CF" w:rsidRDefault="003801CF" w:rsidP="007E1D78">
      <w:pPr>
        <w:rPr>
          <w:lang w:val="en-GB"/>
        </w:rPr>
      </w:pPr>
    </w:p>
    <w:p w:rsidR="00135051" w:rsidRPr="00135051" w:rsidRDefault="00135051" w:rsidP="00135051">
      <w:pPr>
        <w:rPr>
          <w:b/>
        </w:rPr>
      </w:pPr>
      <w:r w:rsidRPr="00135051">
        <w:rPr>
          <w:rFonts w:hint="eastAsia"/>
          <w:b/>
        </w:rPr>
        <w:t>A</w:t>
      </w:r>
      <w:r w:rsidRPr="00135051">
        <w:rPr>
          <w:b/>
        </w:rPr>
        <w:t>genda for Discussion</w:t>
      </w:r>
    </w:p>
    <w:p w:rsidR="00135051" w:rsidRDefault="00135051" w:rsidP="00135051"/>
    <w:p w:rsidR="00135051" w:rsidRDefault="00135051" w:rsidP="00135051">
      <w:pPr>
        <w:pStyle w:val="a8"/>
        <w:numPr>
          <w:ilvl w:val="0"/>
          <w:numId w:val="1"/>
        </w:numPr>
        <w:ind w:leftChars="0"/>
      </w:pPr>
      <w:r>
        <w:rPr>
          <w:rFonts w:hint="eastAsia"/>
        </w:rPr>
        <w:t>R</w:t>
      </w:r>
      <w:r>
        <w:t>ecent Project relating to “blockchain bills of lading” or other relevant trade documents.</w:t>
      </w:r>
    </w:p>
    <w:p w:rsidR="00135051" w:rsidRDefault="00135051" w:rsidP="00135051">
      <w:pPr>
        <w:pStyle w:val="a8"/>
        <w:numPr>
          <w:ilvl w:val="0"/>
          <w:numId w:val="1"/>
        </w:numPr>
        <w:ind w:leftChars="0"/>
      </w:pPr>
      <w:r>
        <w:t xml:space="preserve">Does </w:t>
      </w:r>
      <w:r>
        <w:rPr>
          <w:lang w:val="en-GB"/>
        </w:rPr>
        <w:t>“blockchain” bills of lading qualify as “negotiable electronic transport records” under the Rotterdam Rules?</w:t>
      </w:r>
      <w:r w:rsidRPr="00135051">
        <w:t xml:space="preserve"> </w:t>
      </w:r>
      <w:r>
        <w:t xml:space="preserve">How </w:t>
      </w:r>
      <w:r>
        <w:rPr>
          <w:lang w:val="en-GB"/>
        </w:rPr>
        <w:t xml:space="preserve">“blockchain” bills of lading should be designed for the purpose? </w:t>
      </w:r>
      <w:r>
        <w:t xml:space="preserve"> </w:t>
      </w:r>
    </w:p>
    <w:p w:rsidR="00135051" w:rsidRDefault="00135051" w:rsidP="00CF7340">
      <w:pPr>
        <w:pStyle w:val="a8"/>
        <w:numPr>
          <w:ilvl w:val="0"/>
          <w:numId w:val="1"/>
        </w:numPr>
        <w:ind w:leftChars="0"/>
      </w:pPr>
      <w:r>
        <w:t xml:space="preserve">The </w:t>
      </w:r>
      <w:r w:rsidR="00CF7340">
        <w:t>advantages and the disadvantages of the solution based on (1) international convention, (2) national legislation and (3) contractual arrangements.</w:t>
      </w:r>
    </w:p>
    <w:p w:rsidR="00CF7340" w:rsidRDefault="00CF7340" w:rsidP="00CF7340"/>
    <w:p w:rsidR="00CF7340" w:rsidRPr="00CF7340" w:rsidRDefault="00CF7340" w:rsidP="00CF7340">
      <w:r>
        <w:t xml:space="preserve">The session is open to anyone who are interested in the subject. </w:t>
      </w:r>
      <w:r w:rsidRPr="00CF7340">
        <w:t xml:space="preserve">Those wishing to attend </w:t>
      </w:r>
      <w:r w:rsidRPr="00CF7340">
        <w:lastRenderedPageBreak/>
        <w:t xml:space="preserve">should please email their names, firms/companies represented and addresses to Evelien </w:t>
      </w:r>
      <w:proofErr w:type="spellStart"/>
      <w:r w:rsidRPr="00CF7340">
        <w:t>Peeters</w:t>
      </w:r>
      <w:proofErr w:type="spellEnd"/>
      <w:r w:rsidRPr="00CF7340">
        <w:t xml:space="preserve"> at admin-antwerp@comitemaritime.org</w:t>
      </w:r>
    </w:p>
    <w:p w:rsidR="00CF7340" w:rsidRDefault="00CF7340" w:rsidP="007E1D78">
      <w:pPr>
        <w:jc w:val="right"/>
      </w:pPr>
    </w:p>
    <w:p w:rsidR="007E1D78" w:rsidRDefault="007E1D78" w:rsidP="007E1D78">
      <w:pPr>
        <w:jc w:val="right"/>
      </w:pPr>
      <w:r>
        <w:t>Tomotaka Fujita</w:t>
      </w:r>
    </w:p>
    <w:p w:rsidR="007E1D78" w:rsidRDefault="007E1D78" w:rsidP="007E1D78">
      <w:pPr>
        <w:rPr>
          <w:b/>
          <w:lang w:val="en-GB"/>
        </w:rPr>
      </w:pPr>
    </w:p>
    <w:p w:rsidR="00DF726B" w:rsidRDefault="00DF726B"/>
    <w:sectPr w:rsidR="00DF72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D34" w:rsidRDefault="000A2D34" w:rsidP="00521289">
      <w:r>
        <w:separator/>
      </w:r>
    </w:p>
  </w:endnote>
  <w:endnote w:type="continuationSeparator" w:id="0">
    <w:p w:rsidR="000A2D34" w:rsidRDefault="000A2D34" w:rsidP="0052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D34" w:rsidRDefault="000A2D34" w:rsidP="00521289">
      <w:r>
        <w:separator/>
      </w:r>
    </w:p>
  </w:footnote>
  <w:footnote w:type="continuationSeparator" w:id="0">
    <w:p w:rsidR="000A2D34" w:rsidRDefault="000A2D34" w:rsidP="00521289">
      <w:r>
        <w:continuationSeparator/>
      </w:r>
    </w:p>
  </w:footnote>
  <w:footnote w:id="1">
    <w:p w:rsidR="00850A38" w:rsidRPr="0046280C" w:rsidRDefault="00850A38" w:rsidP="00850A38">
      <w:pPr>
        <w:rPr>
          <w:rFonts w:hint="eastAsia"/>
        </w:rPr>
      </w:pPr>
      <w:r>
        <w:rPr>
          <w:rStyle w:val="a5"/>
        </w:rPr>
        <w:footnoteRef/>
      </w:r>
      <w:r>
        <w:t xml:space="preserve"> </w:t>
      </w:r>
      <w:r>
        <w:rPr>
          <w:rFonts w:hint="eastAsia"/>
        </w:rPr>
        <w:t>See</w:t>
      </w:r>
      <w:r>
        <w:t xml:space="preserve">, </w:t>
      </w:r>
      <w:r w:rsidRPr="00850A38">
        <w:t>Koji Takahashi, Blockchain technology and electronic bills of lading, 22 JIML 202 (2016)</w:t>
      </w:r>
      <w:r>
        <w:t>.</w:t>
      </w:r>
      <w:r>
        <w:t xml:space="preserve"> </w:t>
      </w:r>
    </w:p>
  </w:footnote>
  <w:footnote w:id="2">
    <w:p w:rsidR="0046280C" w:rsidRPr="00521289" w:rsidRDefault="0046280C" w:rsidP="0046280C">
      <w:pPr>
        <w:pStyle w:val="a3"/>
      </w:pPr>
      <w:r>
        <w:rPr>
          <w:rStyle w:val="a5"/>
        </w:rPr>
        <w:footnoteRef/>
      </w:r>
      <w:r>
        <w:t xml:space="preserve"> </w:t>
      </w:r>
      <w:r w:rsidR="00A72BA5">
        <w:t xml:space="preserve">For example, </w:t>
      </w:r>
      <w:r w:rsidR="00A72BA5" w:rsidRPr="007B3490">
        <w:t>“Wave”</w:t>
      </w:r>
      <w:r w:rsidR="00A72BA5">
        <w:t xml:space="preserve"> bills of lading </w:t>
      </w:r>
      <w:r w:rsidR="00A72BA5" w:rsidRPr="0046280C">
        <w:rPr>
          <w:i/>
        </w:rPr>
        <w:t>See</w:t>
      </w:r>
      <w:r w:rsidR="00A72BA5" w:rsidRPr="0046280C">
        <w:t xml:space="preserve"> </w:t>
      </w:r>
      <w:hyperlink r:id="rId1" w:history="1">
        <w:r w:rsidR="00A72BA5" w:rsidRPr="00D91C41">
          <w:rPr>
            <w:rStyle w:val="a6"/>
          </w:rPr>
          <w:t>http://wavebl.com/</w:t>
        </w:r>
      </w:hyperlink>
      <w:r w:rsidR="00A72BA5">
        <w:t xml:space="preserve">; </w:t>
      </w:r>
      <w:r w:rsidR="007B3490">
        <w:rPr>
          <w:lang w:val="en-GB"/>
        </w:rPr>
        <w:t>“</w:t>
      </w:r>
      <w:proofErr w:type="spellStart"/>
      <w:r w:rsidR="007B3490">
        <w:rPr>
          <w:lang w:val="en-GB"/>
        </w:rPr>
        <w:t>Tradelens</w:t>
      </w:r>
      <w:proofErr w:type="spellEnd"/>
      <w:r w:rsidR="007B3490">
        <w:rPr>
          <w:lang w:val="en-GB"/>
        </w:rPr>
        <w:t>”</w:t>
      </w:r>
      <w:r w:rsidR="00BB2A86">
        <w:rPr>
          <w:lang w:val="en-GB"/>
        </w:rPr>
        <w:t xml:space="preserve"> </w:t>
      </w:r>
      <w:r w:rsidR="007B3490">
        <w:rPr>
          <w:lang w:val="en-GB"/>
        </w:rPr>
        <w:t>(</w:t>
      </w:r>
      <w:r w:rsidR="007B3490" w:rsidRPr="0046280C">
        <w:rPr>
          <w:lang w:val="en-GB"/>
        </w:rPr>
        <w:t>Maersk and</w:t>
      </w:r>
      <w:r w:rsidR="007B3490">
        <w:rPr>
          <w:lang w:val="en-GB"/>
        </w:rPr>
        <w:t xml:space="preserve"> </w:t>
      </w:r>
      <w:r w:rsidR="007B3490" w:rsidRPr="0046280C">
        <w:rPr>
          <w:lang w:val="en-GB"/>
        </w:rPr>
        <w:t>IBM</w:t>
      </w:r>
      <w:r w:rsidR="007B3490">
        <w:rPr>
          <w:lang w:val="en-GB"/>
        </w:rPr>
        <w:t xml:space="preserve">) </w:t>
      </w:r>
      <w:r w:rsidR="007B3490" w:rsidRPr="0046280C">
        <w:rPr>
          <w:i/>
        </w:rPr>
        <w:t>See</w:t>
      </w:r>
      <w:r w:rsidR="007B3490" w:rsidRPr="00521289">
        <w:t xml:space="preserve"> </w:t>
      </w:r>
      <w:r w:rsidR="007B3490" w:rsidRPr="00BB2A86">
        <w:t>https://www.maersk.com/en/news/2018/06/29/maersk-and-ibm-introduce-tradelens-blockchain-shipping-solution</w:t>
      </w:r>
      <w:r w:rsidR="007B3490">
        <w:t xml:space="preserve"> and a consortium in Asia </w:t>
      </w:r>
      <w:r w:rsidR="007B3490" w:rsidRPr="00521289">
        <w:rPr>
          <w:i/>
        </w:rPr>
        <w:t>See</w:t>
      </w:r>
      <w:r w:rsidR="007B3490">
        <w:t xml:space="preserve"> </w:t>
      </w:r>
      <w:r w:rsidR="007B3490">
        <w:rPr>
          <w:lang w:val="en-GB"/>
        </w:rPr>
        <w:t>https://www.ccn.com/japans-largest-firm-ntt-data-unveils-blockchain-consortium/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D4F20"/>
    <w:multiLevelType w:val="hybridMultilevel"/>
    <w:tmpl w:val="5AE6967A"/>
    <w:lvl w:ilvl="0" w:tplc="BED475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D78"/>
    <w:rsid w:val="000A2D34"/>
    <w:rsid w:val="00135051"/>
    <w:rsid w:val="003801CF"/>
    <w:rsid w:val="0046280C"/>
    <w:rsid w:val="00521289"/>
    <w:rsid w:val="007B3490"/>
    <w:rsid w:val="007E1D78"/>
    <w:rsid w:val="00850A38"/>
    <w:rsid w:val="00A47F3F"/>
    <w:rsid w:val="00A72BA5"/>
    <w:rsid w:val="00B71BD5"/>
    <w:rsid w:val="00BB2A86"/>
    <w:rsid w:val="00CF7340"/>
    <w:rsid w:val="00DF7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C3B155"/>
  <w15:chartTrackingRefBased/>
  <w15:docId w15:val="{1B856D8E-D34C-4088-9B3D-B7F7871C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1D78"/>
    <w:pPr>
      <w:widowControl w:val="0"/>
      <w:jc w:val="both"/>
    </w:pPr>
    <w:rPr>
      <w:rFonts w:ascii="Times New Roman" w:eastAsia="ＭＳ 明朝" w:hAnsi="Times New Roman" w:cs="Times New Roman"/>
      <w:sz w:val="24"/>
    </w:rPr>
  </w:style>
  <w:style w:type="paragraph" w:styleId="1">
    <w:name w:val="heading 1"/>
    <w:basedOn w:val="a"/>
    <w:next w:val="a"/>
    <w:link w:val="10"/>
    <w:uiPriority w:val="9"/>
    <w:qFormat/>
    <w:rsid w:val="007E1D78"/>
    <w:pPr>
      <w:spacing w:afterLines="50"/>
      <w:outlineLvl w:val="0"/>
    </w:pPr>
    <w:rPr>
      <w:rFonts w:eastAsia="ＭＳ Ｐゴシック"/>
      <w:b/>
      <w:szCs w:val="24"/>
    </w:rPr>
  </w:style>
  <w:style w:type="paragraph" w:styleId="3">
    <w:name w:val="heading 3"/>
    <w:basedOn w:val="a"/>
    <w:next w:val="a"/>
    <w:link w:val="30"/>
    <w:uiPriority w:val="9"/>
    <w:semiHidden/>
    <w:unhideWhenUsed/>
    <w:qFormat/>
    <w:rsid w:val="007E1D78"/>
    <w:pPr>
      <w:spacing w:afterLines="50"/>
      <w:outlineLvl w:val="2"/>
    </w:pPr>
    <w:rPr>
      <w:rFonts w:eastAsia="ＭＳ Ｐゴシック"/>
      <w:i/>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E1D78"/>
    <w:rPr>
      <w:rFonts w:ascii="Times New Roman" w:eastAsia="ＭＳ Ｐゴシック" w:hAnsi="Times New Roman" w:cs="Times New Roman"/>
      <w:b/>
      <w:sz w:val="24"/>
      <w:szCs w:val="24"/>
    </w:rPr>
  </w:style>
  <w:style w:type="character" w:customStyle="1" w:styleId="30">
    <w:name w:val="見出し 3 (文字)"/>
    <w:basedOn w:val="a0"/>
    <w:link w:val="3"/>
    <w:uiPriority w:val="9"/>
    <w:semiHidden/>
    <w:rsid w:val="007E1D78"/>
    <w:rPr>
      <w:rFonts w:ascii="Times New Roman" w:eastAsia="ＭＳ Ｐゴシック" w:hAnsi="Times New Roman" w:cs="Times New Roman"/>
      <w:i/>
      <w:sz w:val="24"/>
      <w:lang w:val="en-GB"/>
    </w:rPr>
  </w:style>
  <w:style w:type="paragraph" w:styleId="a3">
    <w:name w:val="footnote text"/>
    <w:basedOn w:val="a"/>
    <w:link w:val="a4"/>
    <w:uiPriority w:val="99"/>
    <w:semiHidden/>
    <w:unhideWhenUsed/>
    <w:rsid w:val="00521289"/>
    <w:pPr>
      <w:snapToGrid w:val="0"/>
      <w:jc w:val="left"/>
    </w:pPr>
  </w:style>
  <w:style w:type="character" w:customStyle="1" w:styleId="a4">
    <w:name w:val="脚注文字列 (文字)"/>
    <w:basedOn w:val="a0"/>
    <w:link w:val="a3"/>
    <w:uiPriority w:val="99"/>
    <w:semiHidden/>
    <w:rsid w:val="00521289"/>
    <w:rPr>
      <w:rFonts w:ascii="Times New Roman" w:eastAsia="ＭＳ 明朝" w:hAnsi="Times New Roman" w:cs="Times New Roman"/>
      <w:sz w:val="24"/>
    </w:rPr>
  </w:style>
  <w:style w:type="character" w:styleId="a5">
    <w:name w:val="footnote reference"/>
    <w:basedOn w:val="a0"/>
    <w:uiPriority w:val="99"/>
    <w:semiHidden/>
    <w:unhideWhenUsed/>
    <w:rsid w:val="00521289"/>
    <w:rPr>
      <w:vertAlign w:val="superscript"/>
    </w:rPr>
  </w:style>
  <w:style w:type="character" w:styleId="a6">
    <w:name w:val="Hyperlink"/>
    <w:basedOn w:val="a0"/>
    <w:uiPriority w:val="99"/>
    <w:unhideWhenUsed/>
    <w:rsid w:val="007B3490"/>
    <w:rPr>
      <w:color w:val="0563C1" w:themeColor="hyperlink"/>
      <w:u w:val="single"/>
    </w:rPr>
  </w:style>
  <w:style w:type="character" w:styleId="a7">
    <w:name w:val="Unresolved Mention"/>
    <w:basedOn w:val="a0"/>
    <w:uiPriority w:val="99"/>
    <w:semiHidden/>
    <w:unhideWhenUsed/>
    <w:rsid w:val="007B3490"/>
    <w:rPr>
      <w:color w:val="605E5C"/>
      <w:shd w:val="clear" w:color="auto" w:fill="E1DFDD"/>
    </w:rPr>
  </w:style>
  <w:style w:type="paragraph" w:styleId="a8">
    <w:name w:val="List Paragraph"/>
    <w:basedOn w:val="a"/>
    <w:uiPriority w:val="34"/>
    <w:qFormat/>
    <w:rsid w:val="001350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aveb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A2C57-8AC1-44F8-BB26-1677F80F2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271</Words>
  <Characters>1547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友敬 藤田</dc:creator>
  <cp:keywords/>
  <dc:description/>
  <cp:lastModifiedBy>友敬 藤田</cp:lastModifiedBy>
  <cp:revision>7</cp:revision>
  <dcterms:created xsi:type="dcterms:W3CDTF">2018-10-31T12:30:00Z</dcterms:created>
  <dcterms:modified xsi:type="dcterms:W3CDTF">2018-10-31T18:17:00Z</dcterms:modified>
</cp:coreProperties>
</file>