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58C0A1" w14:textId="0468DACC" w:rsidR="00911084" w:rsidRPr="00940480" w:rsidRDefault="00DC2FDF">
      <w:pPr>
        <w:tabs>
          <w:tab w:val="clear" w:pos="851"/>
        </w:tabs>
        <w:jc w:val="center"/>
        <w:rPr>
          <w:rFonts w:cs="Arial"/>
          <w:b/>
          <w:caps/>
          <w:szCs w:val="22"/>
        </w:rPr>
      </w:pPr>
      <w:r w:rsidRPr="00940480">
        <w:rPr>
          <w:rFonts w:cs="Arial"/>
          <w:b/>
          <w:caps/>
          <w:szCs w:val="22"/>
        </w:rPr>
        <w:t>Suitability of IMO liability and compensation regimes with respect to alternative fuels</w:t>
      </w:r>
    </w:p>
    <w:p w14:paraId="0A0617C6" w14:textId="77777777" w:rsidR="00DC2FDF" w:rsidRPr="00940480" w:rsidRDefault="00DC2FDF">
      <w:pPr>
        <w:tabs>
          <w:tab w:val="clear" w:pos="851"/>
        </w:tabs>
        <w:jc w:val="center"/>
        <w:rPr>
          <w:rFonts w:cs="Arial"/>
          <w:b/>
          <w:szCs w:val="22"/>
        </w:rPr>
      </w:pPr>
    </w:p>
    <w:p w14:paraId="58D31D6F" w14:textId="77777777" w:rsidR="002728C2" w:rsidRDefault="007C0FBC" w:rsidP="007C0FBC">
      <w:pPr>
        <w:spacing w:line="312" w:lineRule="auto"/>
        <w:jc w:val="center"/>
        <w:rPr>
          <w:rFonts w:cs="Arial"/>
          <w:b/>
          <w:sz w:val="24"/>
          <w:szCs w:val="24"/>
        </w:rPr>
      </w:pPr>
      <w:r w:rsidRPr="002728C2">
        <w:rPr>
          <w:rFonts w:cs="Arial"/>
          <w:b/>
          <w:sz w:val="24"/>
          <w:szCs w:val="24"/>
        </w:rPr>
        <w:t>Biofuel</w:t>
      </w:r>
      <w:r w:rsidR="002728C2">
        <w:rPr>
          <w:rFonts w:cs="Arial"/>
          <w:b/>
          <w:sz w:val="24"/>
          <w:szCs w:val="24"/>
        </w:rPr>
        <w:t>s and biofuel</w:t>
      </w:r>
      <w:r w:rsidRPr="002728C2">
        <w:rPr>
          <w:rFonts w:cs="Arial"/>
          <w:b/>
          <w:caps/>
          <w:sz w:val="24"/>
          <w:szCs w:val="24"/>
        </w:rPr>
        <w:t xml:space="preserve"> </w:t>
      </w:r>
      <w:r w:rsidRPr="002728C2">
        <w:rPr>
          <w:rFonts w:cs="Arial"/>
          <w:b/>
          <w:sz w:val="24"/>
          <w:szCs w:val="24"/>
        </w:rPr>
        <w:t xml:space="preserve">blends </w:t>
      </w:r>
    </w:p>
    <w:p w14:paraId="088969AB" w14:textId="4E6B837B" w:rsidR="007C0FBC" w:rsidRPr="002728C2" w:rsidRDefault="007C0FBC" w:rsidP="007C0FBC">
      <w:pPr>
        <w:spacing w:line="312" w:lineRule="auto"/>
        <w:jc w:val="center"/>
        <w:rPr>
          <w:rFonts w:cs="Arial"/>
          <w:b/>
          <w:caps/>
          <w:sz w:val="24"/>
          <w:szCs w:val="24"/>
        </w:rPr>
      </w:pPr>
      <w:r w:rsidRPr="002728C2">
        <w:rPr>
          <w:rFonts w:cs="Arial"/>
          <w:b/>
          <w:sz w:val="24"/>
          <w:szCs w:val="24"/>
        </w:rPr>
        <w:t>and the international liability and compensation regime</w:t>
      </w:r>
      <w:r w:rsidR="003572BF">
        <w:rPr>
          <w:rStyle w:val="Voetnootmarkering"/>
          <w:rFonts w:cs="Arial"/>
          <w:b/>
          <w:szCs w:val="24"/>
        </w:rPr>
        <w:footnoteReference w:id="1"/>
      </w:r>
      <w:r w:rsidRPr="002728C2">
        <w:rPr>
          <w:rFonts w:cs="Arial"/>
          <w:b/>
          <w:caps/>
          <w:sz w:val="24"/>
          <w:szCs w:val="24"/>
        </w:rPr>
        <w:t xml:space="preserve"> </w:t>
      </w:r>
    </w:p>
    <w:p w14:paraId="1641610E" w14:textId="77777777" w:rsidR="002728C2" w:rsidRDefault="002728C2">
      <w:pPr>
        <w:tabs>
          <w:tab w:val="clear" w:pos="851"/>
        </w:tabs>
        <w:jc w:val="center"/>
        <w:rPr>
          <w:rFonts w:cs="Arial"/>
          <w:b/>
          <w:szCs w:val="22"/>
        </w:rPr>
      </w:pPr>
    </w:p>
    <w:p w14:paraId="45C829BC" w14:textId="361D1F2A" w:rsidR="003F3B7D" w:rsidRPr="00940480" w:rsidRDefault="001C42BF">
      <w:pPr>
        <w:tabs>
          <w:tab w:val="clear" w:pos="851"/>
        </w:tabs>
        <w:jc w:val="center"/>
        <w:rPr>
          <w:rFonts w:cs="Arial"/>
          <w:b/>
          <w:szCs w:val="22"/>
        </w:rPr>
      </w:pPr>
      <w:r w:rsidRPr="00940480">
        <w:rPr>
          <w:rFonts w:cs="Arial"/>
          <w:b/>
          <w:szCs w:val="22"/>
        </w:rPr>
        <w:t>Note by</w:t>
      </w:r>
      <w:r w:rsidR="003F3B7D" w:rsidRPr="00940480">
        <w:rPr>
          <w:rFonts w:cs="Arial"/>
          <w:b/>
          <w:szCs w:val="22"/>
        </w:rPr>
        <w:t xml:space="preserve"> Comité Maritime International </w:t>
      </w:r>
      <w:r w:rsidR="001D3728" w:rsidRPr="00940480">
        <w:rPr>
          <w:rFonts w:cs="Arial"/>
          <w:b/>
          <w:szCs w:val="22"/>
        </w:rPr>
        <w:t>(CMI)</w:t>
      </w:r>
      <w:r w:rsidR="0005563B" w:rsidRPr="00940480">
        <w:rPr>
          <w:rStyle w:val="Voetnootmarkering"/>
          <w:rFonts w:cs="Arial"/>
          <w:b/>
          <w:bCs/>
          <w:szCs w:val="22"/>
        </w:rPr>
        <w:footnoteReference w:id="2"/>
      </w:r>
      <w:r w:rsidR="005F380D" w:rsidRPr="00940480">
        <w:rPr>
          <w:rFonts w:cs="Arial"/>
          <w:b/>
          <w:bCs/>
          <w:szCs w:val="22"/>
        </w:rPr>
        <w:t xml:space="preserve"> </w:t>
      </w:r>
      <w:r w:rsidR="001D3728" w:rsidRPr="00940480">
        <w:rPr>
          <w:rFonts w:cs="Arial"/>
          <w:b/>
          <w:szCs w:val="22"/>
        </w:rPr>
        <w:t xml:space="preserve"> </w:t>
      </w:r>
    </w:p>
    <w:p w14:paraId="7833A58C" w14:textId="25324966" w:rsidR="002210BB" w:rsidRPr="00940480" w:rsidRDefault="002210BB">
      <w:pPr>
        <w:tabs>
          <w:tab w:val="clear" w:pos="851"/>
        </w:tabs>
        <w:jc w:val="center"/>
        <w:rPr>
          <w:rFonts w:cs="Arial"/>
          <w:b/>
          <w:szCs w:val="22"/>
        </w:rPr>
      </w:pPr>
      <w:r w:rsidRPr="00940480">
        <w:rPr>
          <w:rFonts w:cs="Arial"/>
          <w:b/>
          <w:szCs w:val="22"/>
        </w:rPr>
        <w:t>February 2026</w:t>
      </w:r>
    </w:p>
    <w:p w14:paraId="1870C4B9" w14:textId="68E48590" w:rsidR="00276BED" w:rsidRPr="00940480" w:rsidRDefault="00276BED" w:rsidP="00276BED">
      <w:pPr>
        <w:spacing w:line="312" w:lineRule="auto"/>
        <w:rPr>
          <w:rFonts w:cs="Arial"/>
          <w:szCs w:val="22"/>
          <w:lang w:val="nl-NL"/>
        </w:rPr>
      </w:pPr>
    </w:p>
    <w:p w14:paraId="526F64B5" w14:textId="77777777" w:rsidR="002210BB" w:rsidRPr="00940480" w:rsidRDefault="002210BB" w:rsidP="00276BED">
      <w:pPr>
        <w:spacing w:line="312" w:lineRule="auto"/>
        <w:rPr>
          <w:rFonts w:cs="Arial"/>
          <w:szCs w:val="22"/>
          <w:lang w:val="nl-NL"/>
        </w:rPr>
      </w:pPr>
    </w:p>
    <w:p w14:paraId="3937A94D" w14:textId="77777777" w:rsidR="00276BED" w:rsidRDefault="00276BED" w:rsidP="00276BED">
      <w:pPr>
        <w:pStyle w:val="Lijstalinea"/>
        <w:numPr>
          <w:ilvl w:val="0"/>
          <w:numId w:val="45"/>
        </w:numPr>
        <w:tabs>
          <w:tab w:val="clear" w:pos="851"/>
        </w:tabs>
        <w:spacing w:line="312" w:lineRule="auto"/>
        <w:jc w:val="left"/>
        <w:rPr>
          <w:rFonts w:cs="Arial"/>
          <w:b/>
          <w:bCs/>
          <w:szCs w:val="22"/>
        </w:rPr>
      </w:pPr>
      <w:r w:rsidRPr="00940480">
        <w:rPr>
          <w:rFonts w:cs="Arial"/>
          <w:b/>
          <w:bCs/>
          <w:szCs w:val="22"/>
        </w:rPr>
        <w:t>Introduction</w:t>
      </w:r>
    </w:p>
    <w:p w14:paraId="69A7B98B" w14:textId="77777777" w:rsidR="00940480" w:rsidRPr="00940480" w:rsidRDefault="00940480" w:rsidP="00940480">
      <w:pPr>
        <w:pStyle w:val="Lijstalinea"/>
        <w:tabs>
          <w:tab w:val="clear" w:pos="851"/>
        </w:tabs>
        <w:spacing w:line="312" w:lineRule="auto"/>
        <w:ind w:left="360"/>
        <w:jc w:val="left"/>
        <w:rPr>
          <w:rFonts w:cs="Arial"/>
          <w:b/>
          <w:bCs/>
          <w:szCs w:val="22"/>
        </w:rPr>
      </w:pPr>
    </w:p>
    <w:p w14:paraId="2766BC60" w14:textId="20F421F7" w:rsidR="00276BED" w:rsidRPr="00940480" w:rsidRDefault="003A3BF6" w:rsidP="00276BED">
      <w:pPr>
        <w:spacing w:line="312" w:lineRule="auto"/>
        <w:ind w:firstLine="360"/>
        <w:rPr>
          <w:rFonts w:cs="Arial"/>
          <w:szCs w:val="22"/>
        </w:rPr>
      </w:pPr>
      <w:r>
        <w:rPr>
          <w:rFonts w:cs="Arial"/>
          <w:szCs w:val="22"/>
        </w:rPr>
        <w:t xml:space="preserve">1.1 </w:t>
      </w:r>
      <w:r w:rsidR="00276BED" w:rsidRPr="00940480">
        <w:rPr>
          <w:rFonts w:cs="Arial"/>
          <w:szCs w:val="22"/>
        </w:rPr>
        <w:t>Biofuels and biofuel blends are a key part of the decarbonisation of shipping and are already being widely used. In the last few years, their uptake has increased considerably, largely voluntarily.</w:t>
      </w:r>
      <w:r w:rsidR="00276BED" w:rsidRPr="00940480">
        <w:rPr>
          <w:rStyle w:val="Voetnootmarkering"/>
          <w:rFonts w:cs="Arial"/>
          <w:szCs w:val="22"/>
        </w:rPr>
        <w:footnoteReference w:id="3"/>
      </w:r>
      <w:r w:rsidR="00276BED" w:rsidRPr="00940480">
        <w:rPr>
          <w:rFonts w:cs="Arial"/>
          <w:szCs w:val="22"/>
        </w:rPr>
        <w:t xml:space="preserve"> In the near-term, biofuels and blends are an attractive option (as transition fuel) to meet carbon reduction targets</w:t>
      </w:r>
      <w:r w:rsidR="00276BED" w:rsidRPr="00940480">
        <w:rPr>
          <w:rStyle w:val="Voetnootmarkering"/>
          <w:rFonts w:cs="Arial"/>
          <w:szCs w:val="22"/>
        </w:rPr>
        <w:footnoteReference w:id="4"/>
      </w:r>
      <w:r w:rsidR="00276BED" w:rsidRPr="00940480">
        <w:rPr>
          <w:rFonts w:cs="Arial"/>
          <w:szCs w:val="22"/>
        </w:rPr>
        <w:t>, and further uptake is expected.</w:t>
      </w:r>
      <w:r w:rsidR="00276BED" w:rsidRPr="00940480">
        <w:rPr>
          <w:rFonts w:cs="Arial"/>
          <w:szCs w:val="22"/>
          <w:vertAlign w:val="superscript"/>
        </w:rPr>
        <w:footnoteReference w:id="5"/>
      </w:r>
      <w:r w:rsidR="00276BED" w:rsidRPr="00940480">
        <w:rPr>
          <w:rFonts w:cs="Arial"/>
          <w:szCs w:val="22"/>
        </w:rPr>
        <w:t xml:space="preserve"> As biofuel uptake increases, the legal position of biofuel and biofuel blends, when carried as cargo and used as bunkers, in respect of civil liability and compensation issues should be clear. At present, it is not. </w:t>
      </w:r>
    </w:p>
    <w:p w14:paraId="2B557AB4" w14:textId="4B0F261D" w:rsidR="00276BED" w:rsidRPr="00940480" w:rsidRDefault="003A3BF6" w:rsidP="00276BED">
      <w:pPr>
        <w:spacing w:line="312" w:lineRule="auto"/>
        <w:ind w:firstLine="360"/>
        <w:rPr>
          <w:rFonts w:cs="Arial"/>
          <w:szCs w:val="22"/>
        </w:rPr>
      </w:pPr>
      <w:r>
        <w:rPr>
          <w:rFonts w:cs="Arial"/>
          <w:szCs w:val="22"/>
        </w:rPr>
        <w:t xml:space="preserve">1.2 </w:t>
      </w:r>
      <w:r w:rsidR="00276BED" w:rsidRPr="00940480">
        <w:rPr>
          <w:rFonts w:cs="Arial"/>
          <w:szCs w:val="22"/>
        </w:rPr>
        <w:t xml:space="preserve">This paper seeks to add to the debate on the legal classification of biofuels and biofuel blends. It concludes that pure biofuels do not fall under the Bunkers Convention or the Civil Liability Convention (CLC). There are good arguments why biofuel blends should fall within the scope of these Conventions, but significant issues remain unresolved. Cargoes of biofuels and biofuel blends will both fall within the scope of the HNS Convention 2010, but that convention is not yet in force. To the extent that they do not come within one of the above conventions, biofuel and biofuel blend bunkers and cargoes will be within the scope of the Wreck Removal Convention. However, this convention is limited to wreck scenarios and does not respond to claims from third parties, so a gap would remain. </w:t>
      </w:r>
    </w:p>
    <w:p w14:paraId="09511E57" w14:textId="51EB8B56" w:rsidR="00276BED" w:rsidRPr="00940480" w:rsidRDefault="003A3BF6" w:rsidP="00276BED">
      <w:pPr>
        <w:spacing w:line="312" w:lineRule="auto"/>
        <w:ind w:firstLine="360"/>
        <w:rPr>
          <w:rFonts w:cs="Arial"/>
          <w:szCs w:val="22"/>
        </w:rPr>
      </w:pPr>
      <w:r>
        <w:rPr>
          <w:rFonts w:cs="Arial"/>
          <w:szCs w:val="22"/>
        </w:rPr>
        <w:t xml:space="preserve">1.3 </w:t>
      </w:r>
      <w:r w:rsidR="00276BED" w:rsidRPr="00940480">
        <w:rPr>
          <w:rFonts w:cs="Arial"/>
          <w:szCs w:val="22"/>
        </w:rPr>
        <w:t xml:space="preserve">Further research is required as to the consequences of biofuel and biofuel blend incidents. This will provide guidance on the liability and compensation regime necessary to meet these consequences, including the types of damage and appropriate levels of compensation. In the meantime, there is a real need for an interim solution to provide clarity in respect of biofuel and biofuel blends until an international regime is put in place. </w:t>
      </w:r>
    </w:p>
    <w:p w14:paraId="5BBE4941" w14:textId="77777777" w:rsidR="00276BED" w:rsidRDefault="00276BED" w:rsidP="00276BED">
      <w:pPr>
        <w:pStyle w:val="Lijstalinea"/>
        <w:numPr>
          <w:ilvl w:val="0"/>
          <w:numId w:val="45"/>
        </w:numPr>
        <w:tabs>
          <w:tab w:val="clear" w:pos="851"/>
        </w:tabs>
        <w:spacing w:line="312" w:lineRule="auto"/>
        <w:jc w:val="left"/>
        <w:rPr>
          <w:rFonts w:cs="Arial"/>
          <w:b/>
          <w:bCs/>
          <w:szCs w:val="22"/>
        </w:rPr>
      </w:pPr>
      <w:bookmarkStart w:id="0" w:name="OpenAt"/>
      <w:bookmarkEnd w:id="0"/>
      <w:r w:rsidRPr="00940480">
        <w:rPr>
          <w:rFonts w:cs="Arial"/>
          <w:b/>
          <w:bCs/>
          <w:szCs w:val="22"/>
        </w:rPr>
        <w:t xml:space="preserve">Nature of biofuels and biofuel blends </w:t>
      </w:r>
    </w:p>
    <w:p w14:paraId="3550FD69" w14:textId="77777777" w:rsidR="003A3BF6" w:rsidRPr="00940480" w:rsidRDefault="003A3BF6" w:rsidP="003A3BF6">
      <w:pPr>
        <w:pStyle w:val="Lijstalinea"/>
        <w:tabs>
          <w:tab w:val="clear" w:pos="851"/>
        </w:tabs>
        <w:spacing w:line="312" w:lineRule="auto"/>
        <w:ind w:left="360"/>
        <w:jc w:val="left"/>
        <w:rPr>
          <w:rFonts w:cs="Arial"/>
          <w:b/>
          <w:bCs/>
          <w:szCs w:val="22"/>
        </w:rPr>
      </w:pPr>
    </w:p>
    <w:p w14:paraId="2E0D3B19" w14:textId="77777777" w:rsidR="00276BED" w:rsidRPr="00940480" w:rsidRDefault="00276BED" w:rsidP="00276BED">
      <w:pPr>
        <w:pStyle w:val="Lijstalinea"/>
        <w:numPr>
          <w:ilvl w:val="1"/>
          <w:numId w:val="45"/>
        </w:numPr>
        <w:tabs>
          <w:tab w:val="clear" w:pos="851"/>
        </w:tabs>
        <w:spacing w:line="312" w:lineRule="auto"/>
        <w:jc w:val="left"/>
        <w:rPr>
          <w:rFonts w:cs="Arial"/>
          <w:b/>
          <w:bCs/>
          <w:szCs w:val="22"/>
        </w:rPr>
      </w:pPr>
      <w:r w:rsidRPr="00940480">
        <w:rPr>
          <w:rFonts w:cs="Arial"/>
          <w:szCs w:val="22"/>
        </w:rPr>
        <w:t xml:space="preserve"> Biofuels </w:t>
      </w:r>
    </w:p>
    <w:p w14:paraId="3EF34B52" w14:textId="734E2F50" w:rsidR="00276BED" w:rsidRPr="00940480" w:rsidRDefault="00AA523A" w:rsidP="009461F6">
      <w:pPr>
        <w:spacing w:line="312" w:lineRule="auto"/>
        <w:ind w:firstLine="720"/>
        <w:rPr>
          <w:rFonts w:cs="Arial"/>
          <w:szCs w:val="22"/>
        </w:rPr>
      </w:pPr>
      <w:r>
        <w:rPr>
          <w:rFonts w:cs="Arial"/>
          <w:szCs w:val="22"/>
        </w:rPr>
        <w:t xml:space="preserve">2.1.1 </w:t>
      </w:r>
      <w:r w:rsidR="00276BED" w:rsidRPr="00940480">
        <w:rPr>
          <w:rFonts w:cs="Arial"/>
          <w:szCs w:val="22"/>
        </w:rPr>
        <w:t>The term ‘biofuel’ is a generic one for energy sources made from organic material, as opposed to fossil sources. For example, feedstock biomass such as vegetation, algae, vegetable oils, and animal waste. Biofuels are considered to be renewable resources, whereas fossil fuels are not.</w:t>
      </w:r>
      <w:r w:rsidR="00276BED" w:rsidRPr="00940480">
        <w:rPr>
          <w:rStyle w:val="Voetnootmarkering"/>
          <w:rFonts w:cs="Arial"/>
          <w:szCs w:val="22"/>
        </w:rPr>
        <w:footnoteReference w:id="6"/>
      </w:r>
      <w:r w:rsidR="009461F6" w:rsidRPr="00940480">
        <w:rPr>
          <w:rFonts w:cs="Arial"/>
          <w:szCs w:val="22"/>
        </w:rPr>
        <w:t xml:space="preserve"> </w:t>
      </w:r>
      <w:r w:rsidR="00276BED" w:rsidRPr="00940480">
        <w:rPr>
          <w:rFonts w:cs="Arial"/>
          <w:szCs w:val="22"/>
        </w:rPr>
        <w:t>The chemical composition and physical characteristics of biofuels vary depending on feedstock and production process. As Lloyd’s Register warns: “it should be understood therefore that “no one biofuel product can be used as a reference fuel for all biofuels”.</w:t>
      </w:r>
      <w:r w:rsidR="00276BED" w:rsidRPr="00940480">
        <w:rPr>
          <w:rFonts w:cs="Arial"/>
          <w:szCs w:val="22"/>
          <w:vertAlign w:val="superscript"/>
        </w:rPr>
        <w:footnoteReference w:id="7"/>
      </w:r>
      <w:r w:rsidR="00276BED" w:rsidRPr="00940480">
        <w:rPr>
          <w:rFonts w:cs="Arial"/>
          <w:szCs w:val="22"/>
        </w:rPr>
        <w:t xml:space="preserve"> For the purposes of this paper, biodiesel and biodiesel blends are considered, given the biodiesel blends’ commonalities with conventional fuels. There are two principal types of biodiesel (blends) currently used in shipping: Fatty Acid Methyl Ester (FAME), (specifications EN 14214 and ASTM D 6754); and Hydrotreated Vegetable Oil (HVO) (qualifying as a paraffinic diesel with specification EN 15940).</w:t>
      </w:r>
      <w:r w:rsidR="00276BED" w:rsidRPr="00940480">
        <w:rPr>
          <w:rStyle w:val="Voetnootmarkering"/>
          <w:rFonts w:cs="Arial"/>
          <w:szCs w:val="22"/>
        </w:rPr>
        <w:footnoteReference w:id="8"/>
      </w:r>
      <w:r w:rsidR="00276BED" w:rsidRPr="00940480">
        <w:rPr>
          <w:rFonts w:cs="Arial"/>
          <w:szCs w:val="22"/>
        </w:rPr>
        <w:t xml:space="preserve"> </w:t>
      </w:r>
    </w:p>
    <w:p w14:paraId="169D6122" w14:textId="77777777" w:rsidR="00276BED" w:rsidRPr="00940480" w:rsidRDefault="00276BED" w:rsidP="00276BED">
      <w:pPr>
        <w:spacing w:line="312" w:lineRule="auto"/>
        <w:rPr>
          <w:rFonts w:cs="Arial"/>
          <w:szCs w:val="22"/>
        </w:rPr>
      </w:pPr>
    </w:p>
    <w:p w14:paraId="2EA40EBF" w14:textId="77777777" w:rsidR="00276BED" w:rsidRPr="00940480" w:rsidRDefault="00276BED" w:rsidP="00276BED">
      <w:pPr>
        <w:pStyle w:val="Lijstalinea"/>
        <w:numPr>
          <w:ilvl w:val="1"/>
          <w:numId w:val="45"/>
        </w:numPr>
        <w:tabs>
          <w:tab w:val="clear" w:pos="851"/>
        </w:tabs>
        <w:spacing w:line="312" w:lineRule="auto"/>
        <w:jc w:val="left"/>
        <w:rPr>
          <w:rFonts w:cs="Arial"/>
          <w:szCs w:val="22"/>
        </w:rPr>
      </w:pPr>
      <w:r w:rsidRPr="00940480">
        <w:rPr>
          <w:rFonts w:cs="Arial"/>
          <w:szCs w:val="22"/>
        </w:rPr>
        <w:t xml:space="preserve"> Biofuel blends</w:t>
      </w:r>
    </w:p>
    <w:p w14:paraId="510AACB0" w14:textId="1E4A19C3" w:rsidR="00276BED" w:rsidRPr="00940480" w:rsidRDefault="00AA523A" w:rsidP="00276BED">
      <w:pPr>
        <w:spacing w:line="312" w:lineRule="auto"/>
        <w:ind w:firstLine="360"/>
        <w:rPr>
          <w:rFonts w:cs="Arial"/>
          <w:szCs w:val="22"/>
        </w:rPr>
      </w:pPr>
      <w:r>
        <w:rPr>
          <w:rFonts w:cs="Arial"/>
          <w:szCs w:val="22"/>
        </w:rPr>
        <w:t>2.</w:t>
      </w:r>
      <w:r w:rsidR="00A54044">
        <w:rPr>
          <w:rFonts w:cs="Arial"/>
          <w:szCs w:val="22"/>
        </w:rPr>
        <w:t>2</w:t>
      </w:r>
      <w:r>
        <w:rPr>
          <w:rFonts w:cs="Arial"/>
          <w:szCs w:val="22"/>
        </w:rPr>
        <w:t>.</w:t>
      </w:r>
      <w:r w:rsidR="00A54044">
        <w:rPr>
          <w:rFonts w:cs="Arial"/>
          <w:szCs w:val="22"/>
        </w:rPr>
        <w:t>1</w:t>
      </w:r>
      <w:r>
        <w:rPr>
          <w:rFonts w:cs="Arial"/>
          <w:szCs w:val="22"/>
        </w:rPr>
        <w:t xml:space="preserve"> </w:t>
      </w:r>
      <w:r w:rsidR="00276BED" w:rsidRPr="00940480">
        <w:rPr>
          <w:rFonts w:cs="Arial"/>
          <w:szCs w:val="22"/>
        </w:rPr>
        <w:t>Biodiesel is – at least so far - rarely used in pure form (B100). It is currently more commonly blended with fossil fuels in various percentages. Biofuels can be blended with persistent mineral oils, such as VLSFO (Very Low Sulphur Fuel Oil), or non-persistent mineral oils, such as marine diesel (MDO).</w:t>
      </w:r>
      <w:r w:rsidR="00276BED" w:rsidRPr="00940480">
        <w:rPr>
          <w:rStyle w:val="Voetnootmarkering"/>
          <w:rFonts w:cs="Arial"/>
          <w:szCs w:val="22"/>
        </w:rPr>
        <w:footnoteReference w:id="9"/>
      </w:r>
      <w:r w:rsidR="00276BED" w:rsidRPr="00940480">
        <w:rPr>
          <w:rFonts w:cs="Arial"/>
          <w:szCs w:val="22"/>
        </w:rPr>
        <w:t xml:space="preserve"> Blending more commonly takes place at bunkering hubs, meaning that biofuel blends are not yet generally carried over significant distances as cargoes. Currently blends up to 30% biofuel (B30), e.g. with 70% diesel, are widely used as bunkers.</w:t>
      </w:r>
      <w:r w:rsidR="00276BED" w:rsidRPr="00940480">
        <w:rPr>
          <w:rStyle w:val="Voetnootmarkering"/>
          <w:rFonts w:cs="Arial"/>
          <w:szCs w:val="22"/>
        </w:rPr>
        <w:footnoteReference w:id="10"/>
      </w:r>
      <w:r w:rsidR="00276BED" w:rsidRPr="00940480">
        <w:rPr>
          <w:rFonts w:cs="Arial"/>
          <w:szCs w:val="22"/>
        </w:rPr>
        <w:t xml:space="preserve"> A biofuel blend is a mixture, not a new chemical compound; the blending process does not fundamentally change the chemical composition of the individual components. The biofuel and mineral elements of a biofuel blend are physically mixed, but remain chemically distinct.</w:t>
      </w:r>
      <w:r w:rsidR="00276BED" w:rsidRPr="00940480">
        <w:rPr>
          <w:rStyle w:val="Voetnootmarkering"/>
          <w:rFonts w:cs="Arial"/>
          <w:szCs w:val="22"/>
        </w:rPr>
        <w:footnoteReference w:id="11"/>
      </w:r>
      <w:r w:rsidR="00276BED" w:rsidRPr="00940480">
        <w:rPr>
          <w:rFonts w:cs="Arial"/>
          <w:szCs w:val="22"/>
        </w:rPr>
        <w:t xml:space="preserve"> Standards (e.g., ISO 8217:2024) therefore treat blends as mixtures, not new compounds. However, the component parts cannot, in practical terms, be treated in isolation. In the event of an incident, at the point of release and in the short term the mineral and biofuel elements will to some extent be indistinguishable and/or incapable of being dealt with separately.  </w:t>
      </w:r>
    </w:p>
    <w:p w14:paraId="218FC7C3" w14:textId="77777777" w:rsidR="00276BED" w:rsidRPr="00940480" w:rsidRDefault="00276BED" w:rsidP="00276BED">
      <w:pPr>
        <w:spacing w:line="312" w:lineRule="auto"/>
        <w:rPr>
          <w:rFonts w:cs="Arial"/>
          <w:b/>
          <w:bCs/>
          <w:szCs w:val="22"/>
        </w:rPr>
      </w:pPr>
    </w:p>
    <w:p w14:paraId="23EF45EE" w14:textId="77777777" w:rsidR="00276BED" w:rsidRPr="00940480" w:rsidRDefault="00276BED" w:rsidP="007F3040">
      <w:pPr>
        <w:pStyle w:val="Lijstalinea"/>
        <w:keepNext/>
        <w:numPr>
          <w:ilvl w:val="1"/>
          <w:numId w:val="45"/>
        </w:numPr>
        <w:tabs>
          <w:tab w:val="clear" w:pos="851"/>
        </w:tabs>
        <w:spacing w:line="312" w:lineRule="auto"/>
        <w:jc w:val="left"/>
        <w:rPr>
          <w:rFonts w:cs="Arial"/>
          <w:szCs w:val="22"/>
        </w:rPr>
      </w:pPr>
      <w:r w:rsidRPr="00940480">
        <w:rPr>
          <w:rFonts w:cs="Arial"/>
          <w:szCs w:val="22"/>
        </w:rPr>
        <w:t xml:space="preserve"> Pollution and incident response</w:t>
      </w:r>
    </w:p>
    <w:p w14:paraId="028F7128" w14:textId="21D1565A" w:rsidR="00276BED" w:rsidRPr="00940480" w:rsidRDefault="00A54044" w:rsidP="00276BED">
      <w:pPr>
        <w:spacing w:line="312" w:lineRule="auto"/>
        <w:ind w:firstLine="360"/>
        <w:rPr>
          <w:rFonts w:cs="Arial"/>
          <w:szCs w:val="22"/>
        </w:rPr>
      </w:pPr>
      <w:r>
        <w:rPr>
          <w:rFonts w:cs="Arial"/>
          <w:szCs w:val="22"/>
        </w:rPr>
        <w:t xml:space="preserve">2.3.1 </w:t>
      </w:r>
      <w:r w:rsidR="00276BED" w:rsidRPr="00940480">
        <w:rPr>
          <w:rFonts w:cs="Arial"/>
          <w:szCs w:val="22"/>
        </w:rPr>
        <w:t>At present, little research has been conducted as to the consequences of a biofuel (blend) spill. In their 2024 paper, ITOPF make the following observations about the likely consequences of a biofuel incident in terms of pollution and clean-up response: “</w:t>
      </w:r>
      <w:r w:rsidR="00276BED" w:rsidRPr="00940480">
        <w:rPr>
          <w:rFonts w:cs="Arial"/>
          <w:i/>
          <w:iCs/>
          <w:szCs w:val="22"/>
        </w:rPr>
        <w:t>…biodiesel’s relatively similar fate and behaviour in comparison to conventional fuels means that claims arising from a spill would be similar to those associated with conventional hydrocarbon oil spills.</w:t>
      </w:r>
      <w:r w:rsidR="00276BED" w:rsidRPr="00940480">
        <w:rPr>
          <w:rStyle w:val="Voetnootmarkering"/>
          <w:rFonts w:cs="Arial"/>
          <w:szCs w:val="22"/>
        </w:rPr>
        <w:t xml:space="preserve"> </w:t>
      </w:r>
      <w:r w:rsidR="00276BED" w:rsidRPr="00940480">
        <w:rPr>
          <w:rStyle w:val="Voetnootmarkering"/>
          <w:rFonts w:cs="Arial"/>
          <w:szCs w:val="22"/>
        </w:rPr>
        <w:footnoteReference w:id="12"/>
      </w:r>
      <w:r w:rsidR="009461F6" w:rsidRPr="00940480">
        <w:rPr>
          <w:rFonts w:cs="Arial"/>
          <w:szCs w:val="22"/>
        </w:rPr>
        <w:t xml:space="preserve"> </w:t>
      </w:r>
      <w:r w:rsidR="00276BED" w:rsidRPr="00940480">
        <w:rPr>
          <w:rFonts w:cs="Arial"/>
          <w:szCs w:val="22"/>
        </w:rPr>
        <w:t xml:space="preserve">Further research is required as to the consequences of biofuel and biofuel blend incidents. </w:t>
      </w:r>
    </w:p>
    <w:p w14:paraId="53F4AFB9" w14:textId="77777777" w:rsidR="00276BED" w:rsidRPr="00940480" w:rsidRDefault="00276BED" w:rsidP="00276BED">
      <w:pPr>
        <w:spacing w:line="312" w:lineRule="auto"/>
        <w:rPr>
          <w:rFonts w:cs="Arial"/>
          <w:szCs w:val="22"/>
        </w:rPr>
      </w:pPr>
    </w:p>
    <w:p w14:paraId="6D061BC8" w14:textId="77777777" w:rsidR="00276BED" w:rsidRPr="00940480" w:rsidRDefault="00276BED" w:rsidP="00276BED">
      <w:pPr>
        <w:pStyle w:val="Lijstalinea"/>
        <w:numPr>
          <w:ilvl w:val="0"/>
          <w:numId w:val="45"/>
        </w:numPr>
        <w:tabs>
          <w:tab w:val="clear" w:pos="851"/>
        </w:tabs>
        <w:spacing w:line="312" w:lineRule="auto"/>
        <w:jc w:val="left"/>
        <w:rPr>
          <w:rFonts w:cs="Arial"/>
          <w:b/>
          <w:bCs/>
          <w:szCs w:val="22"/>
        </w:rPr>
      </w:pPr>
      <w:r w:rsidRPr="00940480">
        <w:rPr>
          <w:rFonts w:cs="Arial"/>
          <w:b/>
          <w:bCs/>
          <w:szCs w:val="22"/>
        </w:rPr>
        <w:t>Analysis of the coverage of biofuel and biofuel blends by the international liability and compensation Conventions and other regimes</w:t>
      </w:r>
    </w:p>
    <w:p w14:paraId="67AA0292" w14:textId="77777777" w:rsidR="00A54044" w:rsidRDefault="00A54044" w:rsidP="00A54044">
      <w:pPr>
        <w:pStyle w:val="Lijstalinea"/>
        <w:tabs>
          <w:tab w:val="clear" w:pos="851"/>
        </w:tabs>
        <w:spacing w:line="312" w:lineRule="auto"/>
        <w:ind w:left="360"/>
        <w:jc w:val="left"/>
        <w:rPr>
          <w:rFonts w:cs="Arial"/>
          <w:szCs w:val="22"/>
        </w:rPr>
      </w:pPr>
    </w:p>
    <w:p w14:paraId="1E64B4C1" w14:textId="1B495762" w:rsidR="00276BED" w:rsidRPr="00940480" w:rsidRDefault="00276BED" w:rsidP="00276BED">
      <w:pPr>
        <w:pStyle w:val="Lijstalinea"/>
        <w:numPr>
          <w:ilvl w:val="1"/>
          <w:numId w:val="45"/>
        </w:numPr>
        <w:tabs>
          <w:tab w:val="clear" w:pos="851"/>
        </w:tabs>
        <w:spacing w:line="312" w:lineRule="auto"/>
        <w:jc w:val="left"/>
        <w:rPr>
          <w:rFonts w:cs="Arial"/>
          <w:szCs w:val="22"/>
        </w:rPr>
      </w:pPr>
      <w:r w:rsidRPr="00940480">
        <w:rPr>
          <w:rFonts w:cs="Arial"/>
          <w:szCs w:val="22"/>
        </w:rPr>
        <w:t xml:space="preserve">The CLC and Bunkers Convention   </w:t>
      </w:r>
    </w:p>
    <w:p w14:paraId="2B836A7E" w14:textId="5A23AB49" w:rsidR="00276BED" w:rsidRPr="00940480" w:rsidRDefault="00A54044" w:rsidP="00276BED">
      <w:pPr>
        <w:spacing w:line="312" w:lineRule="auto"/>
        <w:ind w:firstLine="360"/>
        <w:rPr>
          <w:rFonts w:cs="Arial"/>
          <w:szCs w:val="22"/>
        </w:rPr>
      </w:pPr>
      <w:r>
        <w:rPr>
          <w:rFonts w:cs="Arial"/>
          <w:szCs w:val="22"/>
        </w:rPr>
        <w:t xml:space="preserve">3.1.1 </w:t>
      </w:r>
      <w:r w:rsidR="00276BED" w:rsidRPr="00940480">
        <w:rPr>
          <w:rFonts w:cs="Arial"/>
          <w:szCs w:val="22"/>
        </w:rPr>
        <w:t>The international civil liability regime for oil and bunker oil pollution comprises various conventions, including the CLC, the Bunkers Convention, the Wreck Removal Convention and the HNS Convention 2010 (albeit this is not yet in force).</w:t>
      </w:r>
      <w:r w:rsidR="00276BED" w:rsidRPr="00940480">
        <w:rPr>
          <w:rStyle w:val="Voetnootmarkering"/>
          <w:rFonts w:cs="Arial"/>
          <w:szCs w:val="22"/>
        </w:rPr>
        <w:footnoteReference w:id="13"/>
      </w:r>
      <w:r w:rsidR="00276BED" w:rsidRPr="00940480">
        <w:rPr>
          <w:rFonts w:cs="Arial"/>
          <w:szCs w:val="22"/>
        </w:rPr>
        <w:t xml:space="preserve"> The definitions of “</w:t>
      </w:r>
      <w:r w:rsidR="00276BED" w:rsidRPr="00940480">
        <w:rPr>
          <w:rFonts w:cs="Arial"/>
          <w:i/>
          <w:iCs/>
          <w:szCs w:val="22"/>
        </w:rPr>
        <w:t>oil</w:t>
      </w:r>
      <w:r w:rsidR="00276BED" w:rsidRPr="00940480">
        <w:rPr>
          <w:rFonts w:cs="Arial"/>
          <w:szCs w:val="22"/>
        </w:rPr>
        <w:t>” in the CLC and Bunkers Convention both include the phrase “</w:t>
      </w:r>
      <w:r w:rsidR="00276BED" w:rsidRPr="00940480">
        <w:rPr>
          <w:rFonts w:cs="Arial"/>
          <w:i/>
          <w:iCs/>
          <w:szCs w:val="22"/>
          <w:u w:val="single"/>
        </w:rPr>
        <w:t>any</w:t>
      </w:r>
      <w:r w:rsidR="00276BED" w:rsidRPr="00940480">
        <w:rPr>
          <w:rFonts w:cs="Arial"/>
          <w:szCs w:val="22"/>
        </w:rPr>
        <w:t xml:space="preserve"> </w:t>
      </w:r>
      <w:r w:rsidR="00276BED" w:rsidRPr="00940480">
        <w:rPr>
          <w:rFonts w:cs="Arial"/>
          <w:i/>
          <w:iCs/>
          <w:szCs w:val="22"/>
        </w:rPr>
        <w:t>hydrocarbon mineral oil</w:t>
      </w:r>
      <w:r w:rsidR="00276BED" w:rsidRPr="00940480">
        <w:rPr>
          <w:rFonts w:cs="Arial"/>
          <w:szCs w:val="22"/>
        </w:rPr>
        <w:t>” (Art. 1 under 6 cf. under 5 CLC; Art. 1 under 9 cf. under 5 Bunkers Convention). The CLC also requires that the oil is “persistent” (Art. 1 under 6 cf. under 5 CLC). By contrast, the Wreck Removal Convention uses the term “</w:t>
      </w:r>
      <w:r w:rsidR="00276BED" w:rsidRPr="00940480">
        <w:rPr>
          <w:rFonts w:cs="Arial"/>
          <w:i/>
          <w:iCs/>
          <w:szCs w:val="22"/>
        </w:rPr>
        <w:t>bunker fuel oil</w:t>
      </w:r>
      <w:r w:rsidR="00276BED" w:rsidRPr="00940480">
        <w:rPr>
          <w:rFonts w:cs="Arial"/>
          <w:szCs w:val="22"/>
        </w:rPr>
        <w:t>” (Art. 5 under e and art. 6 under h Wreck Removal Convention). This term is not defined and does not include the word “</w:t>
      </w:r>
      <w:r w:rsidR="00276BED" w:rsidRPr="00940480">
        <w:rPr>
          <w:rFonts w:cs="Arial"/>
          <w:i/>
          <w:iCs/>
          <w:szCs w:val="22"/>
        </w:rPr>
        <w:t>mineral</w:t>
      </w:r>
      <w:r w:rsidR="00276BED" w:rsidRPr="00940480">
        <w:rPr>
          <w:rFonts w:cs="Arial"/>
          <w:szCs w:val="22"/>
        </w:rPr>
        <w:t xml:space="preserve">”, although it does make a connection with the broader term “oil”, which is not defined either. </w:t>
      </w:r>
    </w:p>
    <w:p w14:paraId="6B991F30" w14:textId="77777777" w:rsidR="00276BED" w:rsidRPr="00940480" w:rsidRDefault="00276BED" w:rsidP="00276BED">
      <w:pPr>
        <w:spacing w:line="312" w:lineRule="auto"/>
        <w:rPr>
          <w:rFonts w:cs="Arial"/>
          <w:szCs w:val="22"/>
        </w:rPr>
      </w:pPr>
    </w:p>
    <w:p w14:paraId="6C4E7636" w14:textId="77777777" w:rsidR="00276BED" w:rsidRPr="00940480" w:rsidRDefault="00276BED" w:rsidP="00276BED">
      <w:pPr>
        <w:spacing w:line="312" w:lineRule="auto"/>
        <w:rPr>
          <w:rFonts w:cs="Arial"/>
          <w:i/>
          <w:iCs/>
          <w:szCs w:val="22"/>
        </w:rPr>
      </w:pPr>
      <w:r w:rsidRPr="00940480">
        <w:rPr>
          <w:rFonts w:cs="Arial"/>
          <w:i/>
          <w:iCs/>
          <w:szCs w:val="22"/>
        </w:rPr>
        <w:t>Pure biofuels</w:t>
      </w:r>
    </w:p>
    <w:p w14:paraId="11ADE56C" w14:textId="5822777E" w:rsidR="00276BED" w:rsidRPr="00940480" w:rsidRDefault="00A54044" w:rsidP="00276BED">
      <w:pPr>
        <w:spacing w:line="312" w:lineRule="auto"/>
        <w:ind w:firstLine="720"/>
        <w:rPr>
          <w:rFonts w:cs="Arial"/>
          <w:szCs w:val="22"/>
        </w:rPr>
      </w:pPr>
      <w:r>
        <w:rPr>
          <w:rFonts w:cs="Arial"/>
          <w:szCs w:val="22"/>
        </w:rPr>
        <w:t xml:space="preserve">3.1.2 </w:t>
      </w:r>
      <w:r w:rsidR="00276BED" w:rsidRPr="00940480">
        <w:rPr>
          <w:rFonts w:cs="Arial"/>
          <w:szCs w:val="22"/>
        </w:rPr>
        <w:t>Applying the commonly understood meaning of “</w:t>
      </w:r>
      <w:r w:rsidR="00276BED" w:rsidRPr="00940480">
        <w:rPr>
          <w:rFonts w:cs="Arial"/>
          <w:i/>
          <w:iCs/>
          <w:szCs w:val="22"/>
        </w:rPr>
        <w:t>hydrocarbon mineral oil</w:t>
      </w:r>
      <w:r w:rsidR="00276BED" w:rsidRPr="00940480">
        <w:rPr>
          <w:rFonts w:cs="Arial"/>
          <w:szCs w:val="22"/>
        </w:rPr>
        <w:t>”, being a mixture of chemicals from crude oil distillation and refining, comprising of hydrogen and carbon, neither convention will cover pure biofuel (B100), because it contains no mineral oil.</w:t>
      </w:r>
      <w:r w:rsidR="00276BED" w:rsidRPr="00940480">
        <w:rPr>
          <w:rStyle w:val="Voetnootmarkering"/>
          <w:rFonts w:cs="Arial"/>
          <w:szCs w:val="22"/>
        </w:rPr>
        <w:footnoteReference w:id="14"/>
      </w:r>
      <w:r w:rsidR="00276BED" w:rsidRPr="00940480">
        <w:rPr>
          <w:rFonts w:cs="Arial"/>
          <w:szCs w:val="22"/>
        </w:rPr>
        <w:t xml:space="preserve"> The ordinary meaning of the phrase “</w:t>
      </w:r>
      <w:r w:rsidR="00276BED" w:rsidRPr="00940480">
        <w:rPr>
          <w:rFonts w:cs="Arial"/>
          <w:i/>
          <w:iCs/>
          <w:szCs w:val="22"/>
        </w:rPr>
        <w:t>hydrocarbon mineral oil</w:t>
      </w:r>
      <w:r w:rsidR="00276BED" w:rsidRPr="00940480">
        <w:rPr>
          <w:rFonts w:cs="Arial"/>
          <w:szCs w:val="22"/>
        </w:rPr>
        <w:t>” is unambiguous.</w:t>
      </w:r>
      <w:r w:rsidR="00276BED" w:rsidRPr="00940480">
        <w:rPr>
          <w:rStyle w:val="Voetnootmarkering"/>
          <w:rFonts w:cs="Arial"/>
          <w:szCs w:val="22"/>
        </w:rPr>
        <w:footnoteReference w:id="15"/>
      </w:r>
      <w:r w:rsidR="007F3040" w:rsidRPr="00940480">
        <w:rPr>
          <w:rFonts w:cs="Arial"/>
          <w:szCs w:val="22"/>
        </w:rPr>
        <w:t xml:space="preserve"> </w:t>
      </w:r>
      <w:r w:rsidR="00276BED" w:rsidRPr="00940480">
        <w:rPr>
          <w:rFonts w:cs="Arial"/>
          <w:szCs w:val="22"/>
        </w:rPr>
        <w:t>In addition, the IOPC Funds’ definition to determine whether oil is “</w:t>
      </w:r>
      <w:r w:rsidR="00276BED" w:rsidRPr="00940480">
        <w:rPr>
          <w:rFonts w:cs="Arial"/>
          <w:i/>
          <w:iCs/>
          <w:szCs w:val="22"/>
        </w:rPr>
        <w:t>persistent</w:t>
      </w:r>
      <w:r w:rsidR="00276BED" w:rsidRPr="00940480">
        <w:rPr>
          <w:rFonts w:cs="Arial"/>
          <w:szCs w:val="22"/>
        </w:rPr>
        <w:t>” under the CLC, gives rise to difficulties in relation to pure biofuels, despite the physical persistence of some of these oils, because they cannot tolerate the distillation process.</w:t>
      </w:r>
    </w:p>
    <w:p w14:paraId="574716EE" w14:textId="77777777" w:rsidR="00276BED" w:rsidRPr="00940480" w:rsidRDefault="00276BED" w:rsidP="00276BED">
      <w:pPr>
        <w:spacing w:line="312" w:lineRule="auto"/>
        <w:rPr>
          <w:rFonts w:cs="Arial"/>
          <w:szCs w:val="22"/>
        </w:rPr>
      </w:pPr>
    </w:p>
    <w:p w14:paraId="5D47993A" w14:textId="77777777" w:rsidR="00276BED" w:rsidRPr="00940480" w:rsidRDefault="00276BED" w:rsidP="00276BED">
      <w:pPr>
        <w:spacing w:line="312" w:lineRule="auto"/>
        <w:rPr>
          <w:rFonts w:cs="Arial"/>
          <w:i/>
          <w:iCs/>
          <w:szCs w:val="22"/>
        </w:rPr>
      </w:pPr>
      <w:r w:rsidRPr="00940480">
        <w:rPr>
          <w:rFonts w:cs="Arial"/>
          <w:i/>
          <w:iCs/>
          <w:szCs w:val="22"/>
        </w:rPr>
        <w:t>Biofuel blends</w:t>
      </w:r>
    </w:p>
    <w:p w14:paraId="1ECE2E13" w14:textId="7A9FC40B" w:rsidR="00276BED" w:rsidRPr="00940480" w:rsidRDefault="009F0E5A" w:rsidP="00276BED">
      <w:pPr>
        <w:spacing w:line="312" w:lineRule="auto"/>
        <w:ind w:firstLine="720"/>
        <w:rPr>
          <w:rFonts w:cs="Arial"/>
          <w:szCs w:val="22"/>
        </w:rPr>
      </w:pPr>
      <w:r>
        <w:rPr>
          <w:rFonts w:cs="Arial"/>
          <w:szCs w:val="22"/>
        </w:rPr>
        <w:t xml:space="preserve">3.1.3 </w:t>
      </w:r>
      <w:r w:rsidR="00276BED" w:rsidRPr="00940480">
        <w:rPr>
          <w:rFonts w:cs="Arial"/>
          <w:szCs w:val="22"/>
        </w:rPr>
        <w:t xml:space="preserve">The question of whether </w:t>
      </w:r>
      <w:r w:rsidR="00276BED" w:rsidRPr="00940480">
        <w:rPr>
          <w:rFonts w:cs="Arial"/>
          <w:i/>
          <w:iCs/>
          <w:szCs w:val="22"/>
        </w:rPr>
        <w:t>biofuel blends</w:t>
      </w:r>
      <w:r w:rsidR="00276BED" w:rsidRPr="00940480">
        <w:rPr>
          <w:rFonts w:cs="Arial"/>
          <w:szCs w:val="22"/>
        </w:rPr>
        <w:t xml:space="preserve"> fall within the scope of the CLC and Bunkers Convention is more difficult. One of the most important considerations is whether a distinction can and may be made between the various components of biofuel blends.</w:t>
      </w:r>
      <w:r w:rsidR="00276BED" w:rsidRPr="00940480">
        <w:rPr>
          <w:rStyle w:val="Voetnootmarkering"/>
          <w:rFonts w:cs="Arial"/>
          <w:szCs w:val="22"/>
        </w:rPr>
        <w:footnoteReference w:id="16"/>
      </w:r>
      <w:r w:rsidR="00276BED" w:rsidRPr="00940480">
        <w:rPr>
          <w:rFonts w:cs="Arial"/>
          <w:szCs w:val="22"/>
        </w:rPr>
        <w:t xml:space="preserve"> When considered as a single mixed product, is it within the natural and ordinary meaning of the term to describe the blended biofuel as “</w:t>
      </w:r>
      <w:r w:rsidR="00276BED" w:rsidRPr="00940480">
        <w:rPr>
          <w:rFonts w:cs="Arial"/>
          <w:i/>
          <w:iCs/>
          <w:szCs w:val="22"/>
        </w:rPr>
        <w:t>any</w:t>
      </w:r>
      <w:r w:rsidR="00276BED" w:rsidRPr="00940480">
        <w:rPr>
          <w:rFonts w:cs="Arial"/>
          <w:szCs w:val="22"/>
        </w:rPr>
        <w:t xml:space="preserve"> </w:t>
      </w:r>
      <w:r w:rsidR="00276BED" w:rsidRPr="00940480">
        <w:rPr>
          <w:rFonts w:cs="Arial"/>
          <w:i/>
          <w:iCs/>
          <w:szCs w:val="22"/>
        </w:rPr>
        <w:t>hydrocarbon mineral oil</w:t>
      </w:r>
      <w:r w:rsidR="00276BED" w:rsidRPr="00940480">
        <w:rPr>
          <w:rFonts w:cs="Arial"/>
          <w:szCs w:val="22"/>
        </w:rPr>
        <w:t>”? The blended product is a mixture of chemicals from crude oil distillation, but one which also contains bio-derived chemical compounds or products including HFO, VLSFO, MDO, MGO. The term “</w:t>
      </w:r>
      <w:r w:rsidR="00276BED" w:rsidRPr="00940480">
        <w:rPr>
          <w:rFonts w:cs="Arial"/>
          <w:i/>
          <w:iCs/>
          <w:szCs w:val="22"/>
        </w:rPr>
        <w:t>any</w:t>
      </w:r>
      <w:r w:rsidR="00276BED" w:rsidRPr="00940480">
        <w:rPr>
          <w:rFonts w:cs="Arial"/>
          <w:szCs w:val="22"/>
        </w:rPr>
        <w:t xml:space="preserve"> </w:t>
      </w:r>
      <w:r w:rsidR="00276BED" w:rsidRPr="00940480">
        <w:rPr>
          <w:rFonts w:cs="Arial"/>
          <w:i/>
          <w:iCs/>
          <w:szCs w:val="22"/>
        </w:rPr>
        <w:t>hydrocarbon mineral oil</w:t>
      </w:r>
      <w:r w:rsidR="00276BED" w:rsidRPr="00940480">
        <w:rPr>
          <w:rFonts w:cs="Arial"/>
          <w:szCs w:val="22"/>
        </w:rPr>
        <w:t xml:space="preserve">” could also include biofuel blends, insofar as these do contain hydrocarbon mineral oil compounds, also in view of the word ‘any’ in the definition of ‘oil’. To consider it from another perspective, whilst B100 could be described as a mineral oil free product, any blend of biofuel and mineral oil could not be similarly described. On balance, interpreting hydrocarbon mineral oil as including biofuel blends is not an unnatural reading of the term, nor does it lead to an unreasonable result. </w:t>
      </w:r>
    </w:p>
    <w:p w14:paraId="66CA46DF" w14:textId="52DB598A" w:rsidR="00276BED" w:rsidRPr="00940480" w:rsidRDefault="009F0E5A" w:rsidP="00276BED">
      <w:pPr>
        <w:spacing w:line="312" w:lineRule="auto"/>
        <w:ind w:firstLine="720"/>
        <w:rPr>
          <w:rFonts w:cs="Arial"/>
          <w:szCs w:val="22"/>
        </w:rPr>
      </w:pPr>
      <w:r>
        <w:rPr>
          <w:rFonts w:cs="Arial"/>
          <w:szCs w:val="22"/>
        </w:rPr>
        <w:t xml:space="preserve">3.1.4 </w:t>
      </w:r>
      <w:r w:rsidR="00276BED" w:rsidRPr="00940480">
        <w:rPr>
          <w:rFonts w:cs="Arial"/>
          <w:szCs w:val="22"/>
        </w:rPr>
        <w:t>In applying the term in such a way, are there limits to the percentage of biofuel in the blend which would mean it no longer comes within the meaning of the phrase? For instance, would a 75% or even 95% biofuel blend no longer fall within the meaning of a “hydrocarbon mineral oil”? It would seem that insofar as the phrase is an umbrella term, and the biofuel blend could not be described as a mineral oil free fuel, all blends are capable of falling within the meaning of the phrase. It could be that at very high biofuel percentages (assuming these would ever be used in practice)</w:t>
      </w:r>
      <w:r w:rsidR="00276BED" w:rsidRPr="00940480">
        <w:rPr>
          <w:rStyle w:val="Voetnootmarkering"/>
          <w:rFonts w:cs="Arial"/>
          <w:szCs w:val="22"/>
        </w:rPr>
        <w:footnoteReference w:id="17"/>
      </w:r>
      <w:r w:rsidR="00276BED" w:rsidRPr="00940480">
        <w:rPr>
          <w:rFonts w:cs="Arial"/>
          <w:szCs w:val="22"/>
        </w:rPr>
        <w:t xml:space="preserve"> the proportion of mineral oil is considered </w:t>
      </w:r>
      <w:r w:rsidR="00276BED" w:rsidRPr="00940480">
        <w:rPr>
          <w:rFonts w:cs="Arial"/>
          <w:i/>
          <w:iCs/>
          <w:szCs w:val="22"/>
        </w:rPr>
        <w:t>de minimis</w:t>
      </w:r>
      <w:r w:rsidR="00276BED" w:rsidRPr="00940480">
        <w:rPr>
          <w:rFonts w:cs="Arial"/>
          <w:szCs w:val="22"/>
        </w:rPr>
        <w:t xml:space="preserve"> and the biofuel blend not treated as a hydrocarbon mineral oil for the purposes of the conventions. It should be noted, however, that while biofuel elements can be distinguished in theory, after a spill they will to some extent be indistinguishable and/or incapable of being dealt with separately from hydrocarbon elements. </w:t>
      </w:r>
    </w:p>
    <w:p w14:paraId="790DCD26" w14:textId="67C8CE11" w:rsidR="00276BED" w:rsidRPr="00940480" w:rsidRDefault="009F0E5A" w:rsidP="00276BED">
      <w:pPr>
        <w:spacing w:line="312" w:lineRule="auto"/>
        <w:ind w:firstLine="720"/>
        <w:rPr>
          <w:rFonts w:cs="Arial"/>
          <w:szCs w:val="22"/>
        </w:rPr>
      </w:pPr>
      <w:r>
        <w:rPr>
          <w:rFonts w:cs="Arial"/>
          <w:szCs w:val="22"/>
        </w:rPr>
        <w:t xml:space="preserve">3.1.5 </w:t>
      </w:r>
      <w:r w:rsidR="00276BED" w:rsidRPr="00940480">
        <w:rPr>
          <w:rFonts w:cs="Arial"/>
          <w:szCs w:val="22"/>
        </w:rPr>
        <w:t>To the extent that there is ambiguity as to whether the term hydrocarbon mineral oil can include a blended biofuel product, the object and purpose of the two conventions are of relevance. However, there are limits to what is permissible under the principles of the interpretation of treaties.</w:t>
      </w:r>
      <w:r w:rsidR="00276BED" w:rsidRPr="00940480">
        <w:rPr>
          <w:rStyle w:val="Voetnootmarkering"/>
          <w:rFonts w:cs="Arial"/>
          <w:szCs w:val="22"/>
        </w:rPr>
        <w:footnoteReference w:id="18"/>
      </w:r>
      <w:r w:rsidR="00276BED" w:rsidRPr="00940480">
        <w:rPr>
          <w:rFonts w:cs="Arial"/>
          <w:szCs w:val="22"/>
        </w:rPr>
        <w:t xml:space="preserve"> The two conventions were negotiated and agreed between Member States to recompense the victims and fund the clean-up activities of oil pollution incidents. At the time the two conventions were concluded, biofuels were not in use in shipping; had they been it is almost inevitable that their position and of blends would have been clarified. Because of their similar usage and characteristics to mineral oils, it could be argued that biofuel blends containing mineral oil ought to come within the scope of the CLC and Bunkers Convention. Also</w:t>
      </w:r>
      <w:r w:rsidR="007F3040" w:rsidRPr="00940480">
        <w:rPr>
          <w:rFonts w:cs="Arial"/>
          <w:szCs w:val="22"/>
        </w:rPr>
        <w:t>,</w:t>
      </w:r>
      <w:r w:rsidR="00276BED" w:rsidRPr="00940480">
        <w:rPr>
          <w:rFonts w:cs="Arial"/>
          <w:szCs w:val="22"/>
        </w:rPr>
        <w:t xml:space="preserve"> the potential damage caused by the mineral oil may be difficult to separate from that caused by the biofuel blend components and preventive measures may need to be taken to prevent the damage caused by the hydrocarbon mineral components. Such a broader interpretation would avoid regulatory gaps, given that biofuels and blends can cause pollution damage, albeit with potentially/partially different characteristics.</w:t>
      </w:r>
    </w:p>
    <w:p w14:paraId="2184197A" w14:textId="77777777" w:rsidR="00276BED" w:rsidRPr="00940480" w:rsidRDefault="00276BED" w:rsidP="00276BED">
      <w:pPr>
        <w:spacing w:line="312" w:lineRule="auto"/>
        <w:rPr>
          <w:rFonts w:cs="Arial"/>
          <w:szCs w:val="22"/>
        </w:rPr>
      </w:pPr>
    </w:p>
    <w:p w14:paraId="63D21BBC" w14:textId="77777777" w:rsidR="00276BED" w:rsidRPr="00940480" w:rsidRDefault="00276BED" w:rsidP="00276BED">
      <w:pPr>
        <w:spacing w:line="312" w:lineRule="auto"/>
        <w:rPr>
          <w:rFonts w:cs="Arial"/>
          <w:szCs w:val="22"/>
        </w:rPr>
      </w:pPr>
      <w:r w:rsidRPr="00940480">
        <w:rPr>
          <w:rFonts w:cs="Arial"/>
          <w:i/>
          <w:iCs/>
          <w:szCs w:val="22"/>
        </w:rPr>
        <w:t>Relevance of MARPOL to the interpretation of the CLC and Bunkers Convention</w:t>
      </w:r>
    </w:p>
    <w:p w14:paraId="0E7EE0E7" w14:textId="236A633B" w:rsidR="00276BED" w:rsidRPr="00940480" w:rsidRDefault="009F0E5A" w:rsidP="00276BED">
      <w:pPr>
        <w:spacing w:line="312" w:lineRule="auto"/>
        <w:ind w:firstLine="720"/>
        <w:rPr>
          <w:rFonts w:cs="Arial"/>
          <w:szCs w:val="22"/>
        </w:rPr>
      </w:pPr>
      <w:r>
        <w:rPr>
          <w:rFonts w:cs="Arial"/>
          <w:szCs w:val="22"/>
        </w:rPr>
        <w:t xml:space="preserve">3.1.6 </w:t>
      </w:r>
      <w:r w:rsidR="00276BED" w:rsidRPr="00940480">
        <w:rPr>
          <w:rFonts w:cs="Arial"/>
          <w:szCs w:val="22"/>
        </w:rPr>
        <w:t xml:space="preserve">In 2022, the IMO Marine Environment Protection Committee agreed a new Unified Interpretation for Regulation 18 of MARPOL Annex VI, on fuel standards. It has been considered that “The Unified Interpretation allows for the common understanding that fuels with up to 30 per cent biofuels blended into regular petroleum derived fuels will always meet the </w:t>
      </w:r>
      <w:proofErr w:type="spellStart"/>
      <w:r w:rsidR="00276BED" w:rsidRPr="00940480">
        <w:rPr>
          <w:rFonts w:cs="Arial"/>
          <w:szCs w:val="22"/>
        </w:rPr>
        <w:t>SOx</w:t>
      </w:r>
      <w:proofErr w:type="spellEnd"/>
      <w:r w:rsidR="00276BED" w:rsidRPr="00940480">
        <w:rPr>
          <w:rFonts w:cs="Arial"/>
          <w:szCs w:val="22"/>
        </w:rPr>
        <w:t xml:space="preserve"> and NOx limits of Regulations 14 and 13 as required by Regulation 18.3.2, thus no flag state permission is needed for using such alternative fuels.”</w:t>
      </w:r>
      <w:r w:rsidR="00276BED" w:rsidRPr="00940480">
        <w:rPr>
          <w:rStyle w:val="Voetnootmarkering"/>
          <w:rFonts w:cs="Arial"/>
          <w:szCs w:val="22"/>
        </w:rPr>
        <w:footnoteReference w:id="19"/>
      </w:r>
      <w:r w:rsidR="00276BED" w:rsidRPr="00940480">
        <w:rPr>
          <w:rFonts w:cs="Arial"/>
          <w:szCs w:val="22"/>
        </w:rPr>
        <w:t xml:space="preserve"> </w:t>
      </w:r>
    </w:p>
    <w:p w14:paraId="3486BD15" w14:textId="1FA5DE24" w:rsidR="00276BED" w:rsidRPr="00940480" w:rsidRDefault="009F0E5A" w:rsidP="00276BED">
      <w:pPr>
        <w:spacing w:line="312" w:lineRule="auto"/>
        <w:ind w:firstLine="720"/>
        <w:rPr>
          <w:rFonts w:cs="Arial"/>
          <w:szCs w:val="22"/>
        </w:rPr>
      </w:pPr>
      <w:r>
        <w:rPr>
          <w:rFonts w:cs="Arial"/>
          <w:szCs w:val="22"/>
        </w:rPr>
        <w:t xml:space="preserve">3.1.7 </w:t>
      </w:r>
      <w:r w:rsidR="00276BED" w:rsidRPr="00940480">
        <w:rPr>
          <w:rFonts w:cs="Arial"/>
          <w:szCs w:val="22"/>
        </w:rPr>
        <w:t xml:space="preserve">As far as biofuel as cargo is concerned, in 2025, a change was made to the IMO interim guidance for the carriage of biofuel blends. Previously, oil tankers were permitted to carry biofuel blends containing up to 25% biofuel, while blends exceeding this limit were restricted to transport on chemical tankers. On 12 May 2025, </w:t>
      </w:r>
      <w:r w:rsidR="00276BED" w:rsidRPr="00940480">
        <w:rPr>
          <w:rFonts w:cs="Arial"/>
          <w:i/>
          <w:iCs/>
          <w:szCs w:val="22"/>
        </w:rPr>
        <w:t>MEPC.1/Circ.917</w:t>
      </w:r>
      <w:r w:rsidR="00276BED" w:rsidRPr="00940480">
        <w:rPr>
          <w:rFonts w:cs="Arial"/>
          <w:szCs w:val="22"/>
        </w:rPr>
        <w:t xml:space="preserve">, </w:t>
      </w:r>
      <w:r w:rsidR="00276BED" w:rsidRPr="00940480">
        <w:rPr>
          <w:rFonts w:cs="Arial"/>
          <w:i/>
          <w:iCs/>
          <w:szCs w:val="22"/>
        </w:rPr>
        <w:t>Interim guidance on the carriage of blends of biofuels and MARPOL Annex I cargoes by conventional bunker ships</w:t>
      </w:r>
      <w:r w:rsidR="00276BED" w:rsidRPr="00940480">
        <w:rPr>
          <w:rFonts w:cs="Arial"/>
          <w:szCs w:val="22"/>
        </w:rPr>
        <w:t xml:space="preserve">, changed this by permitting oil tankers under MARPOL Annex I to transport blends of not more than 30% by volume of biofuel. </w:t>
      </w:r>
    </w:p>
    <w:p w14:paraId="3010AD31" w14:textId="5218E944" w:rsidR="00276BED" w:rsidRPr="00940480" w:rsidRDefault="003B0484" w:rsidP="00276BED">
      <w:pPr>
        <w:spacing w:line="312" w:lineRule="auto"/>
        <w:rPr>
          <w:rFonts w:cs="Arial"/>
          <w:szCs w:val="22"/>
        </w:rPr>
      </w:pPr>
      <w:r>
        <w:rPr>
          <w:rFonts w:cs="Arial"/>
          <w:szCs w:val="22"/>
        </w:rPr>
        <w:tab/>
        <w:t xml:space="preserve">3.1.8 </w:t>
      </w:r>
      <w:r w:rsidR="00276BED" w:rsidRPr="00940480">
        <w:rPr>
          <w:rFonts w:cs="Arial"/>
          <w:szCs w:val="22"/>
        </w:rPr>
        <w:t xml:space="preserve">Whilst the MARPOL provisions’ interpretation is reflective of industry usage of biofuels, they do not prescribe the percentage level at which biofuels are to be treated as equivalent to or synonymous with fossil fuels for the purpose of other IMO conventions. </w:t>
      </w:r>
    </w:p>
    <w:p w14:paraId="0AD0ED1F" w14:textId="77777777" w:rsidR="00276BED" w:rsidRPr="00940480" w:rsidRDefault="00276BED" w:rsidP="00276BED">
      <w:pPr>
        <w:spacing w:line="312" w:lineRule="auto"/>
        <w:rPr>
          <w:rFonts w:cs="Arial"/>
          <w:szCs w:val="22"/>
        </w:rPr>
      </w:pPr>
    </w:p>
    <w:p w14:paraId="0C257A35" w14:textId="77777777" w:rsidR="00276BED" w:rsidRPr="00940480" w:rsidRDefault="00276BED" w:rsidP="00276BED">
      <w:pPr>
        <w:spacing w:line="312" w:lineRule="auto"/>
        <w:rPr>
          <w:rFonts w:cs="Arial"/>
          <w:i/>
          <w:iCs/>
          <w:szCs w:val="22"/>
        </w:rPr>
      </w:pPr>
      <w:r w:rsidRPr="00940480">
        <w:rPr>
          <w:rFonts w:cs="Arial"/>
          <w:i/>
          <w:iCs/>
          <w:szCs w:val="22"/>
        </w:rPr>
        <w:t>Relevance of IOPC Funds to the interpretation of the CLC and Bunkers Convention</w:t>
      </w:r>
    </w:p>
    <w:p w14:paraId="14CE02B9" w14:textId="4C14DD8D" w:rsidR="00276BED" w:rsidRPr="00940480" w:rsidRDefault="006D2EE1" w:rsidP="00276BED">
      <w:pPr>
        <w:spacing w:line="312" w:lineRule="auto"/>
        <w:ind w:firstLine="360"/>
        <w:rPr>
          <w:rFonts w:cs="Arial"/>
          <w:szCs w:val="22"/>
        </w:rPr>
      </w:pPr>
      <w:r>
        <w:rPr>
          <w:rFonts w:cs="Arial"/>
          <w:szCs w:val="22"/>
        </w:rPr>
        <w:t xml:space="preserve">3.1.9 </w:t>
      </w:r>
      <w:r w:rsidR="00276BED" w:rsidRPr="00940480">
        <w:rPr>
          <w:rFonts w:cs="Arial"/>
          <w:szCs w:val="22"/>
        </w:rPr>
        <w:t>Pure biofuels do not qualify as persistent oil within the meaning of the CLC. Biofuels do not contribute to the IOPC Funds and neither do biofuel blends.</w:t>
      </w:r>
      <w:r w:rsidR="00276BED" w:rsidRPr="00940480">
        <w:rPr>
          <w:rStyle w:val="Voetnootmarkering"/>
          <w:rFonts w:cs="Arial"/>
          <w:szCs w:val="22"/>
        </w:rPr>
        <w:footnoteReference w:id="20"/>
      </w:r>
      <w:r w:rsidR="00276BED" w:rsidRPr="00940480">
        <w:rPr>
          <w:rFonts w:cs="Arial"/>
          <w:szCs w:val="22"/>
        </w:rPr>
        <w:t xml:space="preserve"> However, in view of the difference between the definition of oil under the CLC and contributing oils under the Fund Conventions, the fact that no contribution is made to the Funds in itself seems insufficient to disqualify biofuel blends as “</w:t>
      </w:r>
      <w:r w:rsidR="00276BED" w:rsidRPr="00940480">
        <w:rPr>
          <w:rFonts w:cs="Arial"/>
          <w:i/>
          <w:iCs/>
          <w:szCs w:val="22"/>
        </w:rPr>
        <w:t>hydrocarbon mineral oil</w:t>
      </w:r>
      <w:r w:rsidR="00276BED" w:rsidRPr="00940480">
        <w:rPr>
          <w:rFonts w:cs="Arial"/>
          <w:szCs w:val="22"/>
        </w:rPr>
        <w:t>” within the meaning of the CLC and Bunkers Convention or at least to conclude that pollution by biofuel blends is not covered by the conventions.</w:t>
      </w:r>
    </w:p>
    <w:p w14:paraId="3E4B20EA" w14:textId="77777777" w:rsidR="00276BED" w:rsidRPr="00940480" w:rsidRDefault="00276BED" w:rsidP="00276BED">
      <w:pPr>
        <w:spacing w:line="312" w:lineRule="auto"/>
        <w:rPr>
          <w:rFonts w:cs="Arial"/>
          <w:b/>
          <w:bCs/>
          <w:szCs w:val="22"/>
        </w:rPr>
      </w:pPr>
    </w:p>
    <w:p w14:paraId="633A8334" w14:textId="77777777" w:rsidR="00276BED" w:rsidRPr="00940480" w:rsidRDefault="00276BED" w:rsidP="00276BED">
      <w:pPr>
        <w:pStyle w:val="Lijstalinea"/>
        <w:numPr>
          <w:ilvl w:val="1"/>
          <w:numId w:val="45"/>
        </w:numPr>
        <w:tabs>
          <w:tab w:val="clear" w:pos="851"/>
        </w:tabs>
        <w:spacing w:line="312" w:lineRule="auto"/>
        <w:jc w:val="left"/>
        <w:rPr>
          <w:rFonts w:cs="Arial"/>
          <w:szCs w:val="22"/>
        </w:rPr>
      </w:pPr>
      <w:r w:rsidRPr="00940480">
        <w:rPr>
          <w:rFonts w:cs="Arial"/>
          <w:szCs w:val="22"/>
        </w:rPr>
        <w:t xml:space="preserve"> HNS Convention 2010</w:t>
      </w:r>
    </w:p>
    <w:p w14:paraId="56C845B2" w14:textId="41F1C8AC" w:rsidR="00276BED" w:rsidRPr="00940480" w:rsidRDefault="006D2EE1" w:rsidP="00276BED">
      <w:pPr>
        <w:spacing w:line="312" w:lineRule="auto"/>
        <w:ind w:firstLine="360"/>
        <w:rPr>
          <w:rFonts w:cs="Arial"/>
          <w:szCs w:val="22"/>
        </w:rPr>
      </w:pPr>
      <w:r>
        <w:rPr>
          <w:rFonts w:cs="Arial"/>
          <w:szCs w:val="22"/>
        </w:rPr>
        <w:t xml:space="preserve">3.2.1 </w:t>
      </w:r>
      <w:r w:rsidR="00276BED" w:rsidRPr="00940480">
        <w:rPr>
          <w:rFonts w:cs="Arial"/>
          <w:szCs w:val="22"/>
        </w:rPr>
        <w:t>Whilst biofuels and biofuel blends will be covered by the HNS Convention 2010 when being transported as cargoes (the convention applies only to the “</w:t>
      </w:r>
      <w:r w:rsidR="00276BED" w:rsidRPr="00940480">
        <w:rPr>
          <w:rFonts w:cs="Arial"/>
          <w:i/>
          <w:iCs/>
          <w:szCs w:val="22"/>
        </w:rPr>
        <w:t>carriage of goods as cargo</w:t>
      </w:r>
      <w:r w:rsidR="00276BED" w:rsidRPr="00940480">
        <w:rPr>
          <w:rFonts w:cs="Arial"/>
          <w:szCs w:val="22"/>
        </w:rPr>
        <w:t>”), it will not cover biofuels and biofuel blends onboard a ship as bunkers. If biofuels and biofuel blends are considered to fall under CLC, the HNS Convention 2010 will not apply (Art. 4.3 under the HNS Convention 2010). Furthermore, the HNS Convention is not yet in force.</w:t>
      </w:r>
    </w:p>
    <w:p w14:paraId="5C269567" w14:textId="77777777" w:rsidR="00276BED" w:rsidRPr="00940480" w:rsidRDefault="00276BED" w:rsidP="00276BED">
      <w:pPr>
        <w:spacing w:line="312" w:lineRule="auto"/>
        <w:ind w:left="360"/>
        <w:rPr>
          <w:rFonts w:cs="Arial"/>
          <w:szCs w:val="22"/>
        </w:rPr>
      </w:pPr>
    </w:p>
    <w:p w14:paraId="4F3E8528" w14:textId="77777777" w:rsidR="00276BED" w:rsidRPr="00940480" w:rsidRDefault="00276BED" w:rsidP="00276BED">
      <w:pPr>
        <w:pStyle w:val="Lijstalinea"/>
        <w:numPr>
          <w:ilvl w:val="1"/>
          <w:numId w:val="45"/>
        </w:numPr>
        <w:tabs>
          <w:tab w:val="clear" w:pos="851"/>
        </w:tabs>
        <w:spacing w:line="312" w:lineRule="auto"/>
        <w:jc w:val="left"/>
        <w:rPr>
          <w:rFonts w:cs="Arial"/>
          <w:szCs w:val="22"/>
        </w:rPr>
      </w:pPr>
      <w:r w:rsidRPr="00940480">
        <w:rPr>
          <w:rFonts w:cs="Arial"/>
          <w:szCs w:val="22"/>
        </w:rPr>
        <w:t xml:space="preserve"> Wreck Removal Convention</w:t>
      </w:r>
    </w:p>
    <w:p w14:paraId="2C872939" w14:textId="67B7C3C5" w:rsidR="00276BED" w:rsidRPr="00940480" w:rsidRDefault="006D2EE1" w:rsidP="00276BED">
      <w:pPr>
        <w:spacing w:line="312" w:lineRule="auto"/>
        <w:ind w:firstLine="360"/>
        <w:rPr>
          <w:rFonts w:cs="Arial"/>
          <w:szCs w:val="22"/>
        </w:rPr>
      </w:pPr>
      <w:r>
        <w:rPr>
          <w:rFonts w:cs="Arial"/>
          <w:szCs w:val="22"/>
        </w:rPr>
        <w:t xml:space="preserve">3.3.1 </w:t>
      </w:r>
      <w:r w:rsidR="00276BED" w:rsidRPr="00940480">
        <w:rPr>
          <w:rFonts w:cs="Arial"/>
          <w:szCs w:val="22"/>
        </w:rPr>
        <w:t>The convention refers to cargo but provides no restrictions on what this cargo might comprise. The definition of “</w:t>
      </w:r>
      <w:r w:rsidR="00276BED" w:rsidRPr="00940480">
        <w:rPr>
          <w:rFonts w:cs="Arial"/>
          <w:i/>
          <w:iCs/>
          <w:szCs w:val="22"/>
        </w:rPr>
        <w:t>wreck</w:t>
      </w:r>
      <w:r w:rsidR="00276BED" w:rsidRPr="00940480">
        <w:rPr>
          <w:rFonts w:cs="Arial"/>
          <w:szCs w:val="22"/>
        </w:rPr>
        <w:t>” includes both “</w:t>
      </w:r>
      <w:r w:rsidR="00276BED" w:rsidRPr="00940480">
        <w:rPr>
          <w:rFonts w:cs="Arial"/>
          <w:i/>
          <w:iCs/>
          <w:szCs w:val="22"/>
        </w:rPr>
        <w:t>any object that is or has been on board such a ship</w:t>
      </w:r>
      <w:r w:rsidR="00276BED" w:rsidRPr="00940480">
        <w:rPr>
          <w:rFonts w:cs="Arial"/>
          <w:szCs w:val="22"/>
        </w:rPr>
        <w:t>” and “</w:t>
      </w:r>
      <w:r w:rsidR="00276BED" w:rsidRPr="00940480">
        <w:rPr>
          <w:rFonts w:cs="Arial"/>
          <w:i/>
          <w:iCs/>
          <w:szCs w:val="22"/>
        </w:rPr>
        <w:t>any object that is lost at sea from a ship</w:t>
      </w:r>
      <w:r w:rsidR="00276BED" w:rsidRPr="00940480">
        <w:rPr>
          <w:rFonts w:cs="Arial"/>
          <w:szCs w:val="22"/>
        </w:rPr>
        <w:t>”. The defined term “</w:t>
      </w:r>
      <w:r w:rsidR="00276BED" w:rsidRPr="00940480">
        <w:rPr>
          <w:rFonts w:cs="Arial"/>
          <w:i/>
          <w:iCs/>
          <w:szCs w:val="22"/>
        </w:rPr>
        <w:t>hazard</w:t>
      </w:r>
      <w:r w:rsidR="00276BED" w:rsidRPr="00940480">
        <w:rPr>
          <w:rFonts w:cs="Arial"/>
          <w:szCs w:val="22"/>
        </w:rPr>
        <w:t>” includes “</w:t>
      </w:r>
      <w:r w:rsidR="00276BED" w:rsidRPr="00940480">
        <w:rPr>
          <w:rFonts w:cs="Arial"/>
          <w:i/>
          <w:iCs/>
          <w:szCs w:val="22"/>
        </w:rPr>
        <w:t>any condition or threat that may reasonably be expected to result in major harmful consequences to the marine environment, or damage to the coastline or related interests of one or more States</w:t>
      </w:r>
      <w:r w:rsidR="00276BED" w:rsidRPr="00940480">
        <w:rPr>
          <w:rFonts w:cs="Arial"/>
          <w:szCs w:val="22"/>
        </w:rPr>
        <w:t>”. Taken together, these definitions would encompass a cargo of biofuel or biofuel blend. There is no restriction placed on the nature of the bunkers on board the vessel. The phrase “</w:t>
      </w:r>
      <w:r w:rsidR="00276BED" w:rsidRPr="00940480">
        <w:rPr>
          <w:rFonts w:cs="Arial"/>
          <w:i/>
          <w:iCs/>
          <w:szCs w:val="22"/>
        </w:rPr>
        <w:t>bunker oil</w:t>
      </w:r>
      <w:r w:rsidR="00276BED" w:rsidRPr="00940480">
        <w:rPr>
          <w:rFonts w:cs="Arial"/>
          <w:szCs w:val="22"/>
        </w:rPr>
        <w:t>” used in the convention could reasonably be interpreted as covering pure biofuel and biofuel blends</w:t>
      </w:r>
      <w:r w:rsidR="00276BED" w:rsidRPr="00940480">
        <w:rPr>
          <w:rStyle w:val="Voetnootmarkering"/>
          <w:rFonts w:cs="Arial"/>
          <w:szCs w:val="22"/>
        </w:rPr>
        <w:footnoteReference w:id="21"/>
      </w:r>
      <w:r w:rsidR="00276BED" w:rsidRPr="00940480">
        <w:rPr>
          <w:rFonts w:cs="Arial"/>
          <w:szCs w:val="22"/>
        </w:rPr>
        <w:t>, to the extent that they do not fall within the scope of the CLC or Bunkers Convention.</w:t>
      </w:r>
    </w:p>
    <w:p w14:paraId="58453371" w14:textId="77777777" w:rsidR="00276BED" w:rsidRPr="00940480" w:rsidRDefault="00276BED" w:rsidP="00276BED">
      <w:pPr>
        <w:spacing w:line="312" w:lineRule="auto"/>
        <w:rPr>
          <w:rFonts w:cs="Arial"/>
          <w:szCs w:val="22"/>
        </w:rPr>
      </w:pPr>
    </w:p>
    <w:p w14:paraId="71D357AE" w14:textId="77777777" w:rsidR="00276BED" w:rsidRPr="00940480" w:rsidRDefault="00276BED" w:rsidP="00276BED">
      <w:pPr>
        <w:pStyle w:val="Lijstalinea"/>
        <w:numPr>
          <w:ilvl w:val="1"/>
          <w:numId w:val="45"/>
        </w:numPr>
        <w:tabs>
          <w:tab w:val="clear" w:pos="851"/>
        </w:tabs>
        <w:spacing w:line="312" w:lineRule="auto"/>
        <w:jc w:val="left"/>
        <w:rPr>
          <w:rFonts w:cs="Arial"/>
          <w:szCs w:val="22"/>
        </w:rPr>
      </w:pPr>
      <w:r w:rsidRPr="00940480">
        <w:rPr>
          <w:rFonts w:cs="Arial"/>
          <w:szCs w:val="22"/>
        </w:rPr>
        <w:t xml:space="preserve"> OPA-90</w:t>
      </w:r>
    </w:p>
    <w:p w14:paraId="12709FAC" w14:textId="00976CD6" w:rsidR="00276BED" w:rsidRPr="00940480" w:rsidRDefault="006D2EE1" w:rsidP="009461F6">
      <w:pPr>
        <w:spacing w:line="312" w:lineRule="auto"/>
        <w:ind w:firstLine="360"/>
        <w:rPr>
          <w:rFonts w:cs="Arial"/>
          <w:szCs w:val="22"/>
        </w:rPr>
      </w:pPr>
      <w:r>
        <w:rPr>
          <w:rFonts w:cs="Arial"/>
          <w:szCs w:val="22"/>
        </w:rPr>
        <w:t xml:space="preserve">3.4.1 </w:t>
      </w:r>
      <w:r w:rsidR="00276BED" w:rsidRPr="00940480">
        <w:rPr>
          <w:rFonts w:cs="Arial"/>
          <w:szCs w:val="22"/>
        </w:rPr>
        <w:t>The USA is not a state party to the Bunkers Convention. Discharges of oil in the waters of the US, EEZ and US overseas territories are covered by the Oil Pollution Act 1990 (OPA 90). The definition of “oil” under OPA-90 includes “oil in any kind or in any form, including petroleum, fuel oil, sludge, oil refuse, and oil mixed with wastes other than dredged spool” (Section 1002 OPA 90</w:t>
      </w:r>
      <w:r w:rsidR="00276BED" w:rsidRPr="00940480">
        <w:rPr>
          <w:rFonts w:cs="Arial"/>
          <w:szCs w:val="22"/>
          <w:lang w:eastAsia="ja-JP"/>
        </w:rPr>
        <w:t>).</w:t>
      </w:r>
      <w:r w:rsidR="00276BED" w:rsidRPr="00940480">
        <w:rPr>
          <w:rFonts w:cs="Arial"/>
          <w:szCs w:val="22"/>
        </w:rPr>
        <w:t>  In February 1995, the US Coast Guard issued a letter which contained a non-exhaustive list of the products that would be considered “oil” for the purposes of OPA-90. FAME is included in this list. It is widely understood that B100, as well as biofuel blends would be classified as “oil” under OPA-90 and would therefore be subject to the spill response and liability requirements.</w:t>
      </w:r>
    </w:p>
    <w:p w14:paraId="19FEDAF2" w14:textId="77777777" w:rsidR="001A7EA1" w:rsidRPr="00940480" w:rsidRDefault="001A7EA1" w:rsidP="00276BED">
      <w:pPr>
        <w:spacing w:line="312" w:lineRule="auto"/>
        <w:rPr>
          <w:rFonts w:cs="Arial"/>
          <w:szCs w:val="22"/>
        </w:rPr>
      </w:pPr>
    </w:p>
    <w:p w14:paraId="6F6195FE" w14:textId="77777777" w:rsidR="00276BED" w:rsidRPr="00940480" w:rsidRDefault="00276BED" w:rsidP="0018142F">
      <w:pPr>
        <w:pStyle w:val="Lijstalinea"/>
        <w:keepNext/>
        <w:numPr>
          <w:ilvl w:val="0"/>
          <w:numId w:val="45"/>
        </w:numPr>
        <w:tabs>
          <w:tab w:val="clear" w:pos="851"/>
        </w:tabs>
        <w:spacing w:line="312" w:lineRule="auto"/>
        <w:jc w:val="left"/>
        <w:rPr>
          <w:rFonts w:cs="Arial"/>
          <w:b/>
          <w:bCs/>
          <w:szCs w:val="22"/>
        </w:rPr>
      </w:pPr>
      <w:r w:rsidRPr="00940480">
        <w:rPr>
          <w:rFonts w:cs="Arial"/>
          <w:b/>
          <w:bCs/>
          <w:szCs w:val="22"/>
        </w:rPr>
        <w:t>Possible solutions</w:t>
      </w:r>
    </w:p>
    <w:p w14:paraId="3982D450" w14:textId="7479453F" w:rsidR="00276BED" w:rsidRPr="00940480" w:rsidRDefault="00D13E72" w:rsidP="00D13E72">
      <w:pPr>
        <w:spacing w:line="312" w:lineRule="auto"/>
        <w:rPr>
          <w:rFonts w:cs="Arial"/>
          <w:szCs w:val="22"/>
        </w:rPr>
      </w:pPr>
      <w:r>
        <w:rPr>
          <w:rFonts w:cs="Arial"/>
          <w:szCs w:val="22"/>
        </w:rPr>
        <w:t xml:space="preserve">      4.1 </w:t>
      </w:r>
      <w:r w:rsidR="00276BED" w:rsidRPr="00940480">
        <w:rPr>
          <w:rFonts w:cs="Arial"/>
          <w:szCs w:val="22"/>
        </w:rPr>
        <w:t xml:space="preserve">Without guidance from the IMO, the question of whether a biofuel blend falls within the scope of the conventions would be a matter for courts in individual Member States. This is unlikely to result in a uniform interpretation and application of the conventions. </w:t>
      </w:r>
      <w:r w:rsidR="009461F6" w:rsidRPr="00940480">
        <w:rPr>
          <w:rFonts w:cs="Arial"/>
          <w:szCs w:val="22"/>
        </w:rPr>
        <w:t>A</w:t>
      </w:r>
      <w:r w:rsidR="00276BED" w:rsidRPr="00940480">
        <w:rPr>
          <w:rFonts w:cs="Arial"/>
          <w:szCs w:val="22"/>
        </w:rPr>
        <w:t xml:space="preserve">n agreed </w:t>
      </w:r>
      <w:r w:rsidR="007F3040" w:rsidRPr="00940480">
        <w:rPr>
          <w:rFonts w:cs="Arial"/>
          <w:szCs w:val="22"/>
        </w:rPr>
        <w:t xml:space="preserve">position </w:t>
      </w:r>
      <w:r w:rsidR="009461F6" w:rsidRPr="00940480">
        <w:rPr>
          <w:rFonts w:cs="Arial"/>
          <w:szCs w:val="22"/>
        </w:rPr>
        <w:t>should reduce</w:t>
      </w:r>
      <w:r w:rsidR="00276BED" w:rsidRPr="00940480">
        <w:rPr>
          <w:rFonts w:cs="Arial"/>
          <w:szCs w:val="22"/>
        </w:rPr>
        <w:t xml:space="preserve"> the risk of conflicting decisions. Possible solutions to reach a uniform approach might include the following:</w:t>
      </w:r>
    </w:p>
    <w:p w14:paraId="6B17DCEC" w14:textId="77777777" w:rsidR="00276BED" w:rsidRPr="00940480" w:rsidRDefault="00276BED" w:rsidP="00276BED">
      <w:pPr>
        <w:spacing w:line="312" w:lineRule="auto"/>
        <w:ind w:firstLine="360"/>
        <w:rPr>
          <w:rFonts w:cs="Arial"/>
          <w:szCs w:val="22"/>
        </w:rPr>
      </w:pPr>
    </w:p>
    <w:p w14:paraId="60EE2DC2" w14:textId="77777777" w:rsidR="005A3D28" w:rsidRPr="005A3D28" w:rsidRDefault="00276BED" w:rsidP="005A3D28">
      <w:pPr>
        <w:pStyle w:val="Lijstalinea"/>
        <w:numPr>
          <w:ilvl w:val="1"/>
          <w:numId w:val="49"/>
        </w:numPr>
        <w:tabs>
          <w:tab w:val="clear" w:pos="851"/>
        </w:tabs>
        <w:spacing w:line="312" w:lineRule="auto"/>
        <w:jc w:val="left"/>
        <w:rPr>
          <w:rFonts w:cs="Arial"/>
          <w:i/>
          <w:iCs/>
          <w:szCs w:val="22"/>
        </w:rPr>
      </w:pPr>
      <w:r w:rsidRPr="005A3D28">
        <w:rPr>
          <w:rFonts w:cs="Arial"/>
          <w:i/>
          <w:iCs/>
          <w:szCs w:val="22"/>
        </w:rPr>
        <w:t xml:space="preserve">Unified </w:t>
      </w:r>
      <w:proofErr w:type="spellStart"/>
      <w:r w:rsidRPr="005A3D28">
        <w:rPr>
          <w:rFonts w:cs="Arial"/>
          <w:i/>
          <w:iCs/>
          <w:szCs w:val="22"/>
        </w:rPr>
        <w:t>Interpretation</w:t>
      </w:r>
      <w:r w:rsidR="005A3D28">
        <w:rPr>
          <w:rFonts w:cs="Arial"/>
          <w:i/>
          <w:iCs/>
          <w:szCs w:val="22"/>
        </w:rPr>
        <w:t>.</w:t>
      </w:r>
      <w:r w:rsidR="007F3040" w:rsidRPr="005A3D28">
        <w:rPr>
          <w:rFonts w:cs="Arial"/>
          <w:szCs w:val="22"/>
        </w:rPr>
        <w:t>The</w:t>
      </w:r>
      <w:proofErr w:type="spellEnd"/>
      <w:r w:rsidR="007F3040" w:rsidRPr="005A3D28">
        <w:rPr>
          <w:rFonts w:cs="Arial"/>
          <w:szCs w:val="22"/>
        </w:rPr>
        <w:t xml:space="preserve"> </w:t>
      </w:r>
      <w:r w:rsidRPr="005A3D28">
        <w:rPr>
          <w:rFonts w:cs="Arial"/>
          <w:szCs w:val="22"/>
        </w:rPr>
        <w:t>adoption of a unified interpretation of the phrase</w:t>
      </w:r>
    </w:p>
    <w:p w14:paraId="37CE3229" w14:textId="77777777" w:rsidR="00F80A97" w:rsidRDefault="00276BED" w:rsidP="00F80A97">
      <w:pPr>
        <w:tabs>
          <w:tab w:val="clear" w:pos="851"/>
        </w:tabs>
        <w:spacing w:line="312" w:lineRule="auto"/>
        <w:jc w:val="left"/>
        <w:rPr>
          <w:rFonts w:cs="Arial"/>
          <w:i/>
          <w:iCs/>
          <w:szCs w:val="22"/>
        </w:rPr>
      </w:pPr>
      <w:r w:rsidRPr="005A3D28">
        <w:rPr>
          <w:rFonts w:cs="Arial"/>
          <w:szCs w:val="22"/>
        </w:rPr>
        <w:t>“hydrocarbon mineral oil” as used in the CLC and Bunkers Convention.</w:t>
      </w:r>
      <w:r w:rsidR="007F3040" w:rsidRPr="00940480">
        <w:rPr>
          <w:rStyle w:val="Voetnootmarkering"/>
          <w:rFonts w:cs="Arial"/>
          <w:szCs w:val="22"/>
        </w:rPr>
        <w:footnoteReference w:id="22"/>
      </w:r>
      <w:r w:rsidRPr="005A3D28">
        <w:rPr>
          <w:rFonts w:cs="Arial"/>
          <w:szCs w:val="22"/>
        </w:rPr>
        <w:t xml:space="preserve"> This approach was taken in the case of the test for breaking the owner's right to limit liability under the IMO conventions</w:t>
      </w:r>
      <w:r w:rsidR="0027072A" w:rsidRPr="005A3D28">
        <w:rPr>
          <w:rFonts w:cs="Arial"/>
          <w:szCs w:val="22"/>
        </w:rPr>
        <w:t>, resulting</w:t>
      </w:r>
      <w:r w:rsidRPr="005A3D28">
        <w:rPr>
          <w:rFonts w:cs="Arial"/>
          <w:szCs w:val="22"/>
        </w:rPr>
        <w:t xml:space="preserve"> in </w:t>
      </w:r>
      <w:r w:rsidR="0027072A" w:rsidRPr="005A3D28">
        <w:rPr>
          <w:rFonts w:cs="Arial"/>
          <w:szCs w:val="22"/>
        </w:rPr>
        <w:t xml:space="preserve">clarificatory </w:t>
      </w:r>
      <w:r w:rsidRPr="005A3D28">
        <w:rPr>
          <w:rFonts w:cs="Arial"/>
          <w:szCs w:val="22"/>
        </w:rPr>
        <w:t>resolutions in December 2021 in relation to the LLMC 1976 and 1996, and the CLC and 1992 Protocol</w:t>
      </w:r>
      <w:r w:rsidR="0027072A" w:rsidRPr="005A3D28">
        <w:rPr>
          <w:rFonts w:cs="Arial"/>
          <w:szCs w:val="22"/>
        </w:rPr>
        <w:t>.</w:t>
      </w:r>
      <w:r w:rsidRPr="005A3D28">
        <w:rPr>
          <w:rFonts w:cs="Arial"/>
          <w:szCs w:val="22"/>
        </w:rPr>
        <w:t xml:space="preserve"> </w:t>
      </w:r>
    </w:p>
    <w:p w14:paraId="1AA13C58" w14:textId="77777777" w:rsidR="00F80A97" w:rsidRDefault="00F80A97" w:rsidP="00F80A97">
      <w:pPr>
        <w:tabs>
          <w:tab w:val="clear" w:pos="851"/>
        </w:tabs>
        <w:spacing w:line="312" w:lineRule="auto"/>
        <w:jc w:val="left"/>
        <w:rPr>
          <w:rFonts w:cs="Arial"/>
          <w:i/>
          <w:iCs/>
          <w:szCs w:val="22"/>
        </w:rPr>
      </w:pPr>
    </w:p>
    <w:p w14:paraId="24FFEB30" w14:textId="2405CC4D" w:rsidR="00276BED" w:rsidRPr="00F80A97" w:rsidRDefault="00F80A97" w:rsidP="007463AA">
      <w:pPr>
        <w:tabs>
          <w:tab w:val="clear" w:pos="851"/>
        </w:tabs>
        <w:spacing w:line="312" w:lineRule="auto"/>
        <w:jc w:val="left"/>
        <w:rPr>
          <w:rFonts w:cs="Arial"/>
          <w:i/>
          <w:iCs/>
          <w:szCs w:val="22"/>
        </w:rPr>
      </w:pPr>
      <w:r>
        <w:rPr>
          <w:rFonts w:cs="Arial"/>
          <w:i/>
          <w:iCs/>
          <w:szCs w:val="22"/>
        </w:rPr>
        <w:t xml:space="preserve">    </w:t>
      </w:r>
      <w:r w:rsidRPr="002F7CEF">
        <w:rPr>
          <w:rFonts w:cs="Arial"/>
          <w:szCs w:val="22"/>
        </w:rPr>
        <w:t>4.3</w:t>
      </w:r>
      <w:r>
        <w:rPr>
          <w:rFonts w:cs="Arial"/>
          <w:i/>
          <w:iCs/>
          <w:szCs w:val="22"/>
        </w:rPr>
        <w:t xml:space="preserve"> </w:t>
      </w:r>
      <w:r w:rsidR="00276BED" w:rsidRPr="00F80A97">
        <w:rPr>
          <w:rFonts w:cs="Arial"/>
          <w:i/>
          <w:iCs/>
          <w:szCs w:val="22"/>
        </w:rPr>
        <w:t>New Convention or Protocol to the Bunkers Convention and/or CLC</w:t>
      </w:r>
      <w:r w:rsidR="007463AA" w:rsidRPr="00F80A97">
        <w:rPr>
          <w:rFonts w:cs="Arial"/>
          <w:szCs w:val="22"/>
        </w:rPr>
        <w:t>.</w:t>
      </w:r>
      <w:r>
        <w:rPr>
          <w:rFonts w:cs="Arial"/>
          <w:i/>
          <w:iCs/>
          <w:szCs w:val="22"/>
        </w:rPr>
        <w:t xml:space="preserve"> </w:t>
      </w:r>
      <w:r w:rsidR="007463AA" w:rsidRPr="007463AA">
        <w:rPr>
          <w:rFonts w:cs="Arial"/>
          <w:szCs w:val="22"/>
        </w:rPr>
        <w:t>Ano</w:t>
      </w:r>
      <w:r w:rsidR="00276BED" w:rsidRPr="007463AA">
        <w:rPr>
          <w:rFonts w:cs="Arial"/>
          <w:szCs w:val="22"/>
        </w:rPr>
        <w:t xml:space="preserve">ther solution </w:t>
      </w:r>
      <w:r w:rsidR="007F3040" w:rsidRPr="007463AA">
        <w:rPr>
          <w:rFonts w:cs="Arial"/>
          <w:szCs w:val="22"/>
        </w:rPr>
        <w:t xml:space="preserve">is </w:t>
      </w:r>
      <w:r w:rsidR="00276BED" w:rsidRPr="007463AA">
        <w:rPr>
          <w:rFonts w:cs="Arial"/>
          <w:szCs w:val="22"/>
        </w:rPr>
        <w:t xml:space="preserve">to develop a new international regime. The IMO Legal Committee (LEG 112/16) is considering the appropriate regime for alternative fuels. It seems sensible to include biofuels and biofuel blends in these considerations. These may result in, for example, an Alternative Fuel Convention or a protocol to the Bunkers Convention (and possibly also the CLC). This option would mean that the specifics of biofuels and biofuel blends could be duly taken into account. </w:t>
      </w:r>
    </w:p>
    <w:p w14:paraId="75BA643E" w14:textId="77777777" w:rsidR="00F80A97" w:rsidRDefault="00F80A97" w:rsidP="00F80A97">
      <w:pPr>
        <w:spacing w:line="312" w:lineRule="auto"/>
        <w:rPr>
          <w:rFonts w:cs="Arial"/>
          <w:szCs w:val="22"/>
        </w:rPr>
      </w:pPr>
    </w:p>
    <w:p w14:paraId="225BECD3" w14:textId="11776772" w:rsidR="007F3040" w:rsidRPr="00940480" w:rsidRDefault="00F80A97" w:rsidP="002F7CEF">
      <w:pPr>
        <w:spacing w:line="312" w:lineRule="auto"/>
        <w:rPr>
          <w:rFonts w:cs="Arial"/>
          <w:szCs w:val="22"/>
        </w:rPr>
      </w:pPr>
      <w:r>
        <w:rPr>
          <w:rFonts w:cs="Arial"/>
          <w:szCs w:val="22"/>
        </w:rPr>
        <w:t xml:space="preserve">  </w:t>
      </w:r>
      <w:r w:rsidR="002F7CEF">
        <w:rPr>
          <w:rFonts w:cs="Arial"/>
          <w:szCs w:val="22"/>
        </w:rPr>
        <w:t xml:space="preserve"> </w:t>
      </w:r>
      <w:r>
        <w:rPr>
          <w:rFonts w:cs="Arial"/>
          <w:szCs w:val="22"/>
        </w:rPr>
        <w:t xml:space="preserve"> 4.4 </w:t>
      </w:r>
      <w:r w:rsidR="007F3040" w:rsidRPr="00F80A97">
        <w:rPr>
          <w:rFonts w:cs="Arial"/>
          <w:i/>
          <w:iCs/>
          <w:szCs w:val="22"/>
        </w:rPr>
        <w:t>Guidance from LEG</w:t>
      </w:r>
      <w:r w:rsidR="002F7CEF">
        <w:rPr>
          <w:rFonts w:cs="Arial"/>
          <w:szCs w:val="22"/>
        </w:rPr>
        <w:t xml:space="preserve">. </w:t>
      </w:r>
      <w:r w:rsidR="0027072A" w:rsidRPr="00940480">
        <w:rPr>
          <w:rFonts w:cs="Arial"/>
          <w:szCs w:val="22"/>
        </w:rPr>
        <w:t xml:space="preserve">As part of its work considering an appropriate regime for alternative fuels, LEG could provide interim guidance on the meaning </w:t>
      </w:r>
      <w:r w:rsidR="000F11DC" w:rsidRPr="00940480">
        <w:rPr>
          <w:rFonts w:cs="Arial"/>
          <w:szCs w:val="22"/>
        </w:rPr>
        <w:t xml:space="preserve">and application </w:t>
      </w:r>
      <w:r w:rsidR="0027072A" w:rsidRPr="00940480">
        <w:rPr>
          <w:rFonts w:cs="Arial"/>
          <w:szCs w:val="22"/>
        </w:rPr>
        <w:t>of</w:t>
      </w:r>
      <w:r w:rsidR="000F11DC" w:rsidRPr="00940480">
        <w:rPr>
          <w:rFonts w:cs="Arial"/>
          <w:szCs w:val="22"/>
        </w:rPr>
        <w:t xml:space="preserve"> the term</w:t>
      </w:r>
      <w:r w:rsidR="0027072A" w:rsidRPr="00940480">
        <w:rPr>
          <w:rFonts w:cs="Arial"/>
          <w:szCs w:val="22"/>
        </w:rPr>
        <w:t xml:space="preserve"> hydrocarbon mineral </w:t>
      </w:r>
      <w:r w:rsidR="000F11DC" w:rsidRPr="00940480">
        <w:rPr>
          <w:rFonts w:cs="Arial"/>
          <w:szCs w:val="22"/>
        </w:rPr>
        <w:t>oil,</w:t>
      </w:r>
      <w:r w:rsidR="0027072A" w:rsidRPr="00940480">
        <w:rPr>
          <w:rFonts w:cs="Arial"/>
          <w:szCs w:val="22"/>
        </w:rPr>
        <w:t xml:space="preserve"> which </w:t>
      </w:r>
      <w:r w:rsidR="000F11DC" w:rsidRPr="00940480">
        <w:rPr>
          <w:rFonts w:cs="Arial"/>
          <w:szCs w:val="22"/>
        </w:rPr>
        <w:t>could</w:t>
      </w:r>
      <w:r w:rsidR="0027072A" w:rsidRPr="00940480">
        <w:rPr>
          <w:rFonts w:cs="Arial"/>
          <w:szCs w:val="22"/>
        </w:rPr>
        <w:t xml:space="preserve"> build on the technical work undertaken in relation to biofuel blends at MEPC in 2025.</w:t>
      </w:r>
    </w:p>
    <w:p w14:paraId="2292774C" w14:textId="77777777" w:rsidR="007F3040" w:rsidRPr="00940480" w:rsidRDefault="007F3040" w:rsidP="00276BED">
      <w:pPr>
        <w:spacing w:line="312" w:lineRule="auto"/>
        <w:rPr>
          <w:rFonts w:cs="Arial"/>
          <w:szCs w:val="22"/>
        </w:rPr>
      </w:pPr>
    </w:p>
    <w:p w14:paraId="4324A18C" w14:textId="06FF8EAB" w:rsidR="00276BED" w:rsidRPr="00940480" w:rsidRDefault="002F7CEF" w:rsidP="002F7CEF">
      <w:pPr>
        <w:tabs>
          <w:tab w:val="clear" w:pos="851"/>
        </w:tabs>
        <w:spacing w:line="312" w:lineRule="auto"/>
        <w:jc w:val="left"/>
        <w:rPr>
          <w:rFonts w:cs="Arial"/>
          <w:szCs w:val="22"/>
        </w:rPr>
      </w:pPr>
      <w:r>
        <w:rPr>
          <w:rFonts w:cs="Arial"/>
          <w:szCs w:val="22"/>
        </w:rPr>
        <w:t xml:space="preserve">  </w:t>
      </w:r>
      <w:r w:rsidR="00D42524">
        <w:rPr>
          <w:rFonts w:cs="Arial"/>
          <w:szCs w:val="22"/>
        </w:rPr>
        <w:t xml:space="preserve"> </w:t>
      </w:r>
      <w:r w:rsidR="007F3040" w:rsidRPr="00940480">
        <w:rPr>
          <w:rFonts w:cs="Arial"/>
          <w:szCs w:val="22"/>
        </w:rPr>
        <w:t>4.</w:t>
      </w:r>
      <w:r>
        <w:rPr>
          <w:rFonts w:cs="Arial"/>
          <w:szCs w:val="22"/>
        </w:rPr>
        <w:t>5</w:t>
      </w:r>
      <w:r w:rsidR="00276BED" w:rsidRPr="00940480">
        <w:rPr>
          <w:rFonts w:cs="Arial"/>
          <w:szCs w:val="22"/>
        </w:rPr>
        <w:t xml:space="preserve"> </w:t>
      </w:r>
      <w:r w:rsidR="00276BED" w:rsidRPr="002F7CEF">
        <w:rPr>
          <w:rFonts w:cs="Arial"/>
          <w:i/>
          <w:iCs/>
          <w:szCs w:val="22"/>
        </w:rPr>
        <w:t>Voluntary agreement</w:t>
      </w:r>
      <w:r>
        <w:rPr>
          <w:rFonts w:cs="Arial"/>
          <w:szCs w:val="22"/>
        </w:rPr>
        <w:t xml:space="preserve">. </w:t>
      </w:r>
      <w:r w:rsidR="00276BED" w:rsidRPr="00940480">
        <w:rPr>
          <w:rFonts w:cs="Arial"/>
          <w:szCs w:val="22"/>
        </w:rPr>
        <w:t>Insofar as the members of the International Group of P&amp;I Clubs (and any other reputable P&amp;I insurer</w:t>
      </w:r>
      <w:r w:rsidR="009461F6" w:rsidRPr="00940480">
        <w:rPr>
          <w:rFonts w:cs="Arial"/>
          <w:szCs w:val="22"/>
        </w:rPr>
        <w:t>s</w:t>
      </w:r>
      <w:r w:rsidR="00276BED" w:rsidRPr="00940480">
        <w:rPr>
          <w:rFonts w:cs="Arial"/>
          <w:szCs w:val="22"/>
        </w:rPr>
        <w:t>) considered it appropriate, an interim solution could be a voluntary agreement amongst shipowners in respect of biofuel and biofuel blend incidents. This would ideally contain similar provisions to the other liability and compensation conventions and could bridge the gap at least until the characteristics of an appropriate international regime have been duly considered.</w:t>
      </w:r>
      <w:r w:rsidR="001B2CA0" w:rsidRPr="00940480">
        <w:rPr>
          <w:rStyle w:val="Voetnootmarkering"/>
          <w:rFonts w:cs="Arial"/>
          <w:szCs w:val="22"/>
        </w:rPr>
        <w:footnoteReference w:id="23"/>
      </w:r>
      <w:r w:rsidR="00276BED" w:rsidRPr="00940480">
        <w:rPr>
          <w:rFonts w:cs="Arial"/>
          <w:szCs w:val="22"/>
        </w:rPr>
        <w:t xml:space="preserve"> </w:t>
      </w:r>
    </w:p>
    <w:p w14:paraId="11F52BB9" w14:textId="77777777" w:rsidR="0018142F" w:rsidRPr="00940480" w:rsidRDefault="0018142F" w:rsidP="00276BED">
      <w:pPr>
        <w:spacing w:line="319" w:lineRule="auto"/>
        <w:ind w:firstLine="360"/>
        <w:rPr>
          <w:rFonts w:cs="Arial"/>
          <w:szCs w:val="22"/>
        </w:rPr>
      </w:pPr>
    </w:p>
    <w:p w14:paraId="5CA5FBEA" w14:textId="667D7F42" w:rsidR="00276BED" w:rsidRPr="00D42524" w:rsidRDefault="00276BED" w:rsidP="00D42524">
      <w:pPr>
        <w:pStyle w:val="Lijstalinea"/>
        <w:numPr>
          <w:ilvl w:val="0"/>
          <w:numId w:val="45"/>
        </w:numPr>
        <w:tabs>
          <w:tab w:val="clear" w:pos="851"/>
        </w:tabs>
        <w:spacing w:line="319" w:lineRule="auto"/>
        <w:jc w:val="left"/>
        <w:rPr>
          <w:rFonts w:cs="Arial"/>
          <w:b/>
          <w:bCs/>
          <w:szCs w:val="22"/>
        </w:rPr>
      </w:pPr>
      <w:r w:rsidRPr="00D42524">
        <w:rPr>
          <w:rFonts w:cs="Arial"/>
          <w:b/>
          <w:bCs/>
          <w:szCs w:val="22"/>
        </w:rPr>
        <w:t>Conclusion</w:t>
      </w:r>
    </w:p>
    <w:p w14:paraId="66BE2C21" w14:textId="7823D6CC" w:rsidR="00276BED" w:rsidRPr="00940480" w:rsidRDefault="00D42524" w:rsidP="00276BED">
      <w:pPr>
        <w:spacing w:line="319" w:lineRule="auto"/>
        <w:ind w:firstLine="360"/>
        <w:rPr>
          <w:rFonts w:cs="Arial"/>
          <w:szCs w:val="22"/>
        </w:rPr>
      </w:pPr>
      <w:r>
        <w:rPr>
          <w:rFonts w:cs="Arial"/>
          <w:szCs w:val="22"/>
        </w:rPr>
        <w:t xml:space="preserve">5.1 </w:t>
      </w:r>
      <w:r w:rsidR="00276BED" w:rsidRPr="00940480">
        <w:rPr>
          <w:rFonts w:cs="Arial"/>
          <w:szCs w:val="22"/>
        </w:rPr>
        <w:t xml:space="preserve">The usage of biofuel and biofuel blends is increasing. Pure biofuels are not covered by the Bunkers Convention or the CLC. </w:t>
      </w:r>
      <w:r w:rsidR="00D76868" w:rsidRPr="00940480">
        <w:rPr>
          <w:rFonts w:cs="Arial"/>
          <w:szCs w:val="22"/>
        </w:rPr>
        <w:t xml:space="preserve">There are good arguments why biofuel blends should fall within the scope of these Conventions, but significant issues remain unresolved. </w:t>
      </w:r>
      <w:r w:rsidR="00276BED" w:rsidRPr="00940480">
        <w:rPr>
          <w:rFonts w:cs="Arial"/>
          <w:szCs w:val="22"/>
        </w:rPr>
        <w:t>As with alternative fuels more generally,</w:t>
      </w:r>
      <w:r w:rsidR="00276BED" w:rsidRPr="00940480">
        <w:rPr>
          <w:rStyle w:val="Voetnootmarkering"/>
          <w:rFonts w:cs="Arial"/>
          <w:szCs w:val="22"/>
        </w:rPr>
        <w:footnoteReference w:id="24"/>
      </w:r>
      <w:r w:rsidR="00276BED" w:rsidRPr="00940480">
        <w:rPr>
          <w:rFonts w:cs="Arial"/>
          <w:szCs w:val="22"/>
        </w:rPr>
        <w:t xml:space="preserve"> this situation is not conducive to the uniform application of these conventions or the proper and effective compensation of victims in the event of a biofuel or biofuel blend incident.</w:t>
      </w:r>
    </w:p>
    <w:p w14:paraId="7B2FFA92" w14:textId="40086D3D" w:rsidR="00276BED" w:rsidRPr="00940480" w:rsidRDefault="00D42524" w:rsidP="006E5522">
      <w:pPr>
        <w:tabs>
          <w:tab w:val="clear" w:pos="851"/>
          <w:tab w:val="left" w:pos="360"/>
        </w:tabs>
        <w:spacing w:line="319" w:lineRule="auto"/>
        <w:ind w:firstLine="360"/>
        <w:rPr>
          <w:rFonts w:cs="Arial"/>
          <w:szCs w:val="22"/>
        </w:rPr>
      </w:pPr>
      <w:r>
        <w:rPr>
          <w:rFonts w:cs="Arial"/>
          <w:szCs w:val="22"/>
        </w:rPr>
        <w:t xml:space="preserve">5.2 </w:t>
      </w:r>
      <w:r w:rsidR="00276BED" w:rsidRPr="00940480">
        <w:rPr>
          <w:rFonts w:cs="Arial"/>
          <w:szCs w:val="22"/>
        </w:rPr>
        <w:t>Further scientific and technical research is required into the consequences of biofuel and biofuel blend incidents. This will provide guidance on the liability and compensation regime necessary to meet these consequences, including the types of damage and appropriate levels of compensation. In the meantime, there is a real need for an interim solution to provide clarity in respect of biofu</w:t>
      </w:r>
      <w:r w:rsidR="00276BED" w:rsidRPr="00940480">
        <w:rPr>
          <w:rFonts w:cs="Arial"/>
          <w:color w:val="000000" w:themeColor="text1"/>
          <w:szCs w:val="22"/>
        </w:rPr>
        <w:t>el</w:t>
      </w:r>
      <w:r w:rsidR="0098443D" w:rsidRPr="00940480">
        <w:rPr>
          <w:rFonts w:cs="Arial"/>
          <w:color w:val="000000" w:themeColor="text1"/>
          <w:szCs w:val="22"/>
        </w:rPr>
        <w:t>s</w:t>
      </w:r>
      <w:r w:rsidR="00276BED" w:rsidRPr="00940480">
        <w:rPr>
          <w:rFonts w:cs="Arial"/>
          <w:szCs w:val="22"/>
        </w:rPr>
        <w:t xml:space="preserve"> and biofuel blends until an international regime is put in place. </w:t>
      </w:r>
    </w:p>
    <w:sectPr w:rsidR="00276BED" w:rsidRPr="00940480" w:rsidSect="007F3040">
      <w:headerReference w:type="even"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C7285B" w14:textId="77777777" w:rsidR="00460D79" w:rsidRDefault="00460D79">
      <w:r>
        <w:separator/>
      </w:r>
    </w:p>
  </w:endnote>
  <w:endnote w:type="continuationSeparator" w:id="0">
    <w:p w14:paraId="22178004" w14:textId="77777777" w:rsidR="00460D79" w:rsidRDefault="00460D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useo Sans 300">
    <w:altName w:val="Calibri"/>
    <w:panose1 w:val="00000000000000000000"/>
    <w:charset w:val="00"/>
    <w:family w:val="modern"/>
    <w:notTrueType/>
    <w:pitch w:val="variable"/>
    <w:sig w:usb0="A00000AF" w:usb1="4000004A" w:usb2="00000000" w:usb3="00000000" w:csb0="00000093"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Museo Sans 500">
    <w:altName w:val="Calibri"/>
    <w:panose1 w:val="00000000000000000000"/>
    <w:charset w:val="00"/>
    <w:family w:val="modern"/>
    <w:notTrueType/>
    <w:pitch w:val="variable"/>
    <w:sig w:usb0="A00000AF" w:usb1="4000004A" w:usb2="00000000" w:usb3="00000000" w:csb0="00000093" w:csb1="00000000"/>
  </w:font>
  <w:font w:name="Museo Sans 100">
    <w:altName w:val="Calibri"/>
    <w:panose1 w:val="00000000000000000000"/>
    <w:charset w:val="00"/>
    <w:family w:val="modern"/>
    <w:notTrueType/>
    <w:pitch w:val="variable"/>
    <w:sig w:usb0="A00000AF" w:usb1="4000004A" w:usb2="00000000" w:usb3="00000000" w:csb0="00000093"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42113" w14:textId="77777777" w:rsidR="00B21952" w:rsidRPr="00957D9E" w:rsidRDefault="00B21952" w:rsidP="00B21952">
    <w:pPr>
      <w:pStyle w:val="Voettekst"/>
      <w:rPr>
        <w:szCs w:val="18"/>
      </w:rPr>
    </w:pPr>
    <w:bookmarkStart w:id="1" w:name="_Hlk30152152"/>
  </w:p>
  <w:p w14:paraId="6F18FC76" w14:textId="374B0AFC" w:rsidR="00B21952" w:rsidRDefault="00B21952" w:rsidP="00A927D9">
    <w:pPr>
      <w:pStyle w:val="Voettekst"/>
      <w:pBdr>
        <w:top w:val="single" w:sz="4" w:space="1" w:color="auto"/>
      </w:pBdr>
      <w:rPr>
        <w:szCs w:val="18"/>
        <w:lang w:val="en-US"/>
      </w:rPr>
    </w:pPr>
    <w:r w:rsidRPr="00957D9E">
      <w:rPr>
        <w:szCs w:val="18"/>
        <w:lang w:val="en-US"/>
      </w:rPr>
      <w:fldChar w:fldCharType="begin"/>
    </w:r>
    <w:r w:rsidRPr="00957D9E">
      <w:rPr>
        <w:szCs w:val="18"/>
        <w:lang w:val="en-US"/>
      </w:rPr>
      <w:instrText xml:space="preserve"> FILENAME   \* MERGEFORMAT </w:instrText>
    </w:r>
    <w:r w:rsidRPr="00957D9E">
      <w:rPr>
        <w:szCs w:val="18"/>
        <w:lang w:val="en-US"/>
      </w:rPr>
      <w:fldChar w:fldCharType="separate"/>
    </w:r>
    <w:r>
      <w:rPr>
        <w:noProof/>
        <w:szCs w:val="18"/>
        <w:lang w:val="en-US"/>
      </w:rPr>
      <w:t>2405583E_v2.docx</w:t>
    </w:r>
    <w:r w:rsidRPr="00957D9E">
      <w:rPr>
        <w:szCs w:val="18"/>
        <w:lang w:val="en-US"/>
      </w:rPr>
      <w:fldChar w:fldCharType="end"/>
    </w:r>
    <w:bookmarkEnd w:id="1"/>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7D54E6" w14:textId="77777777" w:rsidR="00460D79" w:rsidRDefault="00460D79">
      <w:r>
        <w:separator/>
      </w:r>
    </w:p>
  </w:footnote>
  <w:footnote w:type="continuationSeparator" w:id="0">
    <w:p w14:paraId="6529E27B" w14:textId="77777777" w:rsidR="00460D79" w:rsidRDefault="00460D79">
      <w:r>
        <w:continuationSeparator/>
      </w:r>
    </w:p>
  </w:footnote>
  <w:footnote w:id="1">
    <w:p w14:paraId="0D9FF482" w14:textId="201C3ADC" w:rsidR="003572BF" w:rsidRPr="003572BF" w:rsidRDefault="003572BF" w:rsidP="00B35CA5">
      <w:pPr>
        <w:pStyle w:val="Voetnoottekst"/>
        <w:ind w:left="0" w:firstLine="0"/>
      </w:pPr>
      <w:r w:rsidRPr="00834F8E">
        <w:rPr>
          <w:rStyle w:val="Voetnootmarkering"/>
          <w:rFonts w:ascii="Verdana" w:hAnsi="Verdana"/>
          <w:sz w:val="16"/>
          <w:szCs w:val="16"/>
        </w:rPr>
        <w:footnoteRef/>
      </w:r>
      <w:r w:rsidRPr="00834F8E">
        <w:rPr>
          <w:rStyle w:val="Voetnootmarkering"/>
          <w:rFonts w:ascii="Verdana" w:hAnsi="Verdana"/>
          <w:sz w:val="16"/>
          <w:szCs w:val="16"/>
        </w:rPr>
        <w:t xml:space="preserve"> </w:t>
      </w:r>
      <w:r w:rsidR="00834F8E">
        <w:t>A s</w:t>
      </w:r>
      <w:r w:rsidR="00F76CCC">
        <w:t xml:space="preserve">horter </w:t>
      </w:r>
      <w:r>
        <w:t>version of this paper wit</w:t>
      </w:r>
      <w:r w:rsidR="00F76CCC">
        <w:t xml:space="preserve">hout references has been submitted to the IMO Legal Committee for LEG 113/14. </w:t>
      </w:r>
    </w:p>
  </w:footnote>
  <w:footnote w:id="2">
    <w:p w14:paraId="446F629D" w14:textId="22106A4F" w:rsidR="0005563B" w:rsidRPr="00021320" w:rsidRDefault="0005563B" w:rsidP="0005563B">
      <w:pPr>
        <w:rPr>
          <w:rFonts w:ascii="Verdana" w:hAnsi="Verdana"/>
          <w:sz w:val="16"/>
          <w:szCs w:val="16"/>
        </w:rPr>
      </w:pPr>
      <w:r w:rsidRPr="00021320">
        <w:rPr>
          <w:rStyle w:val="Voetnootmarkering"/>
          <w:rFonts w:ascii="Verdana" w:hAnsi="Verdana"/>
          <w:sz w:val="16"/>
          <w:szCs w:val="16"/>
        </w:rPr>
        <w:footnoteRef/>
      </w:r>
      <w:r w:rsidRPr="00021320">
        <w:rPr>
          <w:rFonts w:ascii="Verdana" w:hAnsi="Verdana"/>
          <w:sz w:val="16"/>
          <w:szCs w:val="16"/>
        </w:rPr>
        <w:t xml:space="preserve"> </w:t>
      </w:r>
      <w:r>
        <w:rPr>
          <w:rFonts w:ascii="Verdana" w:hAnsi="Verdana"/>
          <w:sz w:val="16"/>
          <w:szCs w:val="16"/>
        </w:rPr>
        <w:t xml:space="preserve">The </w:t>
      </w:r>
      <w:r w:rsidR="00F8639E">
        <w:rPr>
          <w:rFonts w:ascii="Verdana" w:hAnsi="Verdana"/>
          <w:sz w:val="16"/>
          <w:szCs w:val="16"/>
        </w:rPr>
        <w:t xml:space="preserve">main </w:t>
      </w:r>
      <w:r>
        <w:rPr>
          <w:rFonts w:ascii="Verdana" w:hAnsi="Verdana"/>
          <w:sz w:val="16"/>
          <w:szCs w:val="16"/>
        </w:rPr>
        <w:t>authors of the paper are</w:t>
      </w:r>
      <w:r w:rsidR="0019738D">
        <w:rPr>
          <w:rFonts w:ascii="Verdana" w:hAnsi="Verdana"/>
          <w:sz w:val="16"/>
          <w:szCs w:val="16"/>
        </w:rPr>
        <w:t xml:space="preserve"> the following members of the CMI IWG on Maritime Decarbonisation: </w:t>
      </w:r>
      <w:r>
        <w:rPr>
          <w:rFonts w:ascii="Verdana" w:hAnsi="Verdana"/>
          <w:sz w:val="16"/>
          <w:szCs w:val="16"/>
        </w:rPr>
        <w:t xml:space="preserve"> </w:t>
      </w:r>
      <w:r w:rsidRPr="00021320">
        <w:rPr>
          <w:rFonts w:ascii="Verdana" w:hAnsi="Verdana"/>
          <w:sz w:val="16"/>
          <w:szCs w:val="16"/>
        </w:rPr>
        <w:t xml:space="preserve">Neil Henderson (Barrister LCI Law, London), Henrik Ringbom (Professor of Marine Law at the </w:t>
      </w:r>
      <w:proofErr w:type="spellStart"/>
      <w:r w:rsidRPr="00021320">
        <w:rPr>
          <w:rFonts w:ascii="Verdana" w:hAnsi="Verdana"/>
          <w:sz w:val="16"/>
          <w:szCs w:val="16"/>
        </w:rPr>
        <w:t>Åbo</w:t>
      </w:r>
      <w:proofErr w:type="spellEnd"/>
      <w:r w:rsidRPr="00021320">
        <w:rPr>
          <w:rFonts w:ascii="Verdana" w:hAnsi="Verdana"/>
          <w:sz w:val="16"/>
          <w:szCs w:val="16"/>
        </w:rPr>
        <w:t xml:space="preserve"> </w:t>
      </w:r>
      <w:proofErr w:type="spellStart"/>
      <w:r w:rsidRPr="00021320">
        <w:rPr>
          <w:rFonts w:ascii="Verdana" w:hAnsi="Verdana"/>
          <w:sz w:val="16"/>
          <w:szCs w:val="16"/>
        </w:rPr>
        <w:t>Akademi</w:t>
      </w:r>
      <w:proofErr w:type="spellEnd"/>
      <w:r w:rsidRPr="00021320">
        <w:rPr>
          <w:rFonts w:ascii="Verdana" w:hAnsi="Verdana"/>
          <w:sz w:val="16"/>
          <w:szCs w:val="16"/>
        </w:rPr>
        <w:t xml:space="preserve"> University, Finland and Professor at the Scandinavian Institute of Maritime Law at the University of Oslo), Manami Sasaoka (Professor of Commercial Law, Yokohama National University), Mark Broekhuisen (Attorney at Law Van Traa Advocaten, Rotterdam), </w:t>
      </w:r>
      <w:r w:rsidR="00A5312B" w:rsidRPr="00A5312B">
        <w:rPr>
          <w:rFonts w:ascii="Verdana" w:hAnsi="Verdana"/>
          <w:sz w:val="16"/>
          <w:szCs w:val="16"/>
        </w:rPr>
        <w:t>Nick Gaskell (Emeritus Professor of Maritime and Commercial Law, University of Queensland)</w:t>
      </w:r>
      <w:r w:rsidR="0063034A">
        <w:rPr>
          <w:rFonts w:ascii="Verdana" w:hAnsi="Verdana"/>
          <w:sz w:val="16"/>
          <w:szCs w:val="16"/>
        </w:rPr>
        <w:t xml:space="preserve"> </w:t>
      </w:r>
      <w:r w:rsidRPr="00021320">
        <w:rPr>
          <w:rFonts w:ascii="Verdana" w:hAnsi="Verdana"/>
          <w:sz w:val="16"/>
          <w:szCs w:val="16"/>
        </w:rPr>
        <w:t>and Jolien Kruit (Attorney at Law Van Traa Advocaten, Rotterdam and endowed professor The Future of Maritime law at the Erasmus School of Law, Rotterdam).</w:t>
      </w:r>
    </w:p>
  </w:footnote>
  <w:footnote w:id="3">
    <w:p w14:paraId="424B0425" w14:textId="6D815837" w:rsidR="00276BED" w:rsidRPr="00021320" w:rsidRDefault="00276BED" w:rsidP="00375DA3">
      <w:pPr>
        <w:pStyle w:val="Voetnoottekst"/>
        <w:ind w:left="0" w:firstLine="0"/>
        <w:rPr>
          <w:rFonts w:ascii="Verdana" w:hAnsi="Verdana"/>
          <w:sz w:val="16"/>
          <w:szCs w:val="16"/>
        </w:rPr>
      </w:pPr>
      <w:r w:rsidRPr="00021320">
        <w:rPr>
          <w:rStyle w:val="Voetnootmarkering"/>
          <w:rFonts w:ascii="Verdana" w:hAnsi="Verdana"/>
          <w:sz w:val="16"/>
          <w:szCs w:val="16"/>
        </w:rPr>
        <w:footnoteRef/>
      </w:r>
      <w:r w:rsidRPr="00021320">
        <w:rPr>
          <w:rFonts w:ascii="Verdana" w:hAnsi="Verdana"/>
          <w:sz w:val="16"/>
          <w:szCs w:val="16"/>
        </w:rPr>
        <w:t xml:space="preserve"> DNV Maritime Forecast to 2050, 2025, p. 21; Øyvind </w:t>
      </w:r>
      <w:proofErr w:type="spellStart"/>
      <w:r w:rsidRPr="00021320">
        <w:rPr>
          <w:rFonts w:ascii="Verdana" w:hAnsi="Verdana"/>
          <w:sz w:val="16"/>
          <w:szCs w:val="16"/>
        </w:rPr>
        <w:t>Sekkesæter</w:t>
      </w:r>
      <w:proofErr w:type="spellEnd"/>
      <w:r w:rsidRPr="00021320">
        <w:rPr>
          <w:rFonts w:ascii="Verdana" w:hAnsi="Verdana"/>
          <w:sz w:val="16"/>
          <w:szCs w:val="16"/>
        </w:rPr>
        <w:t xml:space="preserve"> et al., ‘Biofuels in Shipping – Current market</w:t>
      </w:r>
      <w:r w:rsidR="00375DA3">
        <w:rPr>
          <w:rFonts w:ascii="Verdana" w:hAnsi="Verdana"/>
          <w:sz w:val="16"/>
          <w:szCs w:val="16"/>
        </w:rPr>
        <w:t xml:space="preserve"> </w:t>
      </w:r>
      <w:r w:rsidRPr="00021320">
        <w:rPr>
          <w:rFonts w:ascii="Verdana" w:hAnsi="Verdana"/>
          <w:sz w:val="16"/>
          <w:szCs w:val="16"/>
        </w:rPr>
        <w:t>and guidance on use and reporting’, DNV Whitepaper, March 2025, p. 7-8 and 13  (</w:t>
      </w:r>
      <w:hyperlink r:id="rId1" w:history="1">
        <w:r w:rsidRPr="00021320">
          <w:rPr>
            <w:rStyle w:val="Hyperlink"/>
            <w:rFonts w:ascii="Verdana" w:hAnsi="Verdana"/>
            <w:sz w:val="16"/>
            <w:szCs w:val="16"/>
          </w:rPr>
          <w:t>Biofuel_whitepaper_2025.pdf</w:t>
        </w:r>
      </w:hyperlink>
      <w:r w:rsidRPr="00021320">
        <w:rPr>
          <w:rFonts w:ascii="Verdana" w:hAnsi="Verdana"/>
          <w:sz w:val="16"/>
          <w:szCs w:val="16"/>
        </w:rPr>
        <w:t xml:space="preserve">). </w:t>
      </w:r>
    </w:p>
  </w:footnote>
  <w:footnote w:id="4">
    <w:p w14:paraId="52EAE3FF" w14:textId="77777777" w:rsidR="00276BED" w:rsidRPr="00021320" w:rsidRDefault="00276BED" w:rsidP="00375DA3">
      <w:pPr>
        <w:pStyle w:val="Voetnoottekst"/>
        <w:ind w:left="0" w:firstLine="0"/>
        <w:rPr>
          <w:rFonts w:ascii="Verdana" w:hAnsi="Verdana"/>
          <w:sz w:val="16"/>
          <w:szCs w:val="16"/>
        </w:rPr>
      </w:pPr>
      <w:r w:rsidRPr="00021320">
        <w:rPr>
          <w:rStyle w:val="Voetnootmarkering"/>
          <w:rFonts w:ascii="Verdana" w:hAnsi="Verdana"/>
          <w:sz w:val="16"/>
          <w:szCs w:val="16"/>
        </w:rPr>
        <w:footnoteRef/>
      </w:r>
      <w:r w:rsidRPr="00021320">
        <w:rPr>
          <w:rFonts w:ascii="Verdana" w:hAnsi="Verdana"/>
          <w:sz w:val="16"/>
          <w:szCs w:val="16"/>
        </w:rPr>
        <w:t xml:space="preserve"> Some predict an even bigger role for biofuels and suggest that bio and renewable diesel, as well as liquefied biomethane, could emerge as the most highly adopted maritime fuels in the long term. See Raucci C.et al., The future of maritime fuels. What you need to know. Lloyd’s Register Maritime Decarbonisation Hub, 2023.</w:t>
      </w:r>
    </w:p>
  </w:footnote>
  <w:footnote w:id="5">
    <w:p w14:paraId="18397E56" w14:textId="77777777" w:rsidR="00276BED" w:rsidRPr="00021320" w:rsidRDefault="00276BED" w:rsidP="00375DA3">
      <w:pPr>
        <w:pStyle w:val="Voetnoottekst"/>
        <w:ind w:left="0" w:firstLine="0"/>
        <w:rPr>
          <w:rFonts w:ascii="Verdana" w:hAnsi="Verdana"/>
          <w:sz w:val="16"/>
          <w:szCs w:val="16"/>
        </w:rPr>
      </w:pPr>
      <w:r w:rsidRPr="00021320">
        <w:rPr>
          <w:rStyle w:val="Voetnootmarkering"/>
          <w:rFonts w:ascii="Verdana" w:hAnsi="Verdana"/>
          <w:sz w:val="16"/>
          <w:szCs w:val="16"/>
        </w:rPr>
        <w:footnoteRef/>
      </w:r>
      <w:r w:rsidRPr="00021320">
        <w:rPr>
          <w:rFonts w:ascii="Verdana" w:hAnsi="Verdana"/>
          <w:sz w:val="16"/>
          <w:szCs w:val="16"/>
        </w:rPr>
        <w:t xml:space="preserve"> </w:t>
      </w:r>
      <w:hyperlink r:id="rId2" w:history="1">
        <w:r w:rsidRPr="00021320">
          <w:rPr>
            <w:rStyle w:val="Hyperlink"/>
            <w:rFonts w:ascii="Verdana" w:hAnsi="Verdana"/>
            <w:sz w:val="16"/>
            <w:szCs w:val="16"/>
          </w:rPr>
          <w:t>Transport biofuels – Renewables 2023 – Analysis – IEA;</w:t>
        </w:r>
      </w:hyperlink>
      <w:r w:rsidRPr="00021320">
        <w:rPr>
          <w:rFonts w:ascii="Verdana" w:hAnsi="Verdana"/>
          <w:sz w:val="16"/>
          <w:szCs w:val="16"/>
        </w:rPr>
        <w:t xml:space="preserve"> Øyvind </w:t>
      </w:r>
      <w:proofErr w:type="spellStart"/>
      <w:r w:rsidRPr="00021320">
        <w:rPr>
          <w:rFonts w:ascii="Verdana" w:hAnsi="Verdana"/>
          <w:sz w:val="16"/>
          <w:szCs w:val="16"/>
        </w:rPr>
        <w:t>Sekkesæter</w:t>
      </w:r>
      <w:proofErr w:type="spellEnd"/>
      <w:r w:rsidRPr="00021320">
        <w:rPr>
          <w:rFonts w:ascii="Verdana" w:hAnsi="Verdana"/>
          <w:sz w:val="16"/>
          <w:szCs w:val="16"/>
        </w:rPr>
        <w:t xml:space="preserve"> et al., supra note</w:t>
      </w:r>
      <w:r>
        <w:rPr>
          <w:rFonts w:ascii="Verdana" w:hAnsi="Verdana"/>
          <w:sz w:val="16"/>
          <w:szCs w:val="16"/>
        </w:rPr>
        <w:t xml:space="preserve"> </w:t>
      </w:r>
      <w:r w:rsidRPr="00021320">
        <w:rPr>
          <w:rFonts w:ascii="Verdana" w:hAnsi="Verdana"/>
          <w:sz w:val="16"/>
          <w:szCs w:val="16"/>
        </w:rPr>
        <w:t xml:space="preserve">2, p. 4 and 13. </w:t>
      </w:r>
    </w:p>
  </w:footnote>
  <w:footnote w:id="6">
    <w:p w14:paraId="70B074C4" w14:textId="6A16BA30" w:rsidR="00276BED" w:rsidRPr="00021320" w:rsidRDefault="00276BED" w:rsidP="00503A08">
      <w:pPr>
        <w:pStyle w:val="Voetnoottekst"/>
        <w:ind w:left="0" w:firstLine="0"/>
        <w:jc w:val="left"/>
        <w:rPr>
          <w:rFonts w:ascii="Verdana" w:hAnsi="Verdana"/>
          <w:sz w:val="16"/>
          <w:szCs w:val="16"/>
        </w:rPr>
      </w:pPr>
      <w:r w:rsidRPr="00021320">
        <w:rPr>
          <w:rStyle w:val="Voetnootmarkering"/>
          <w:rFonts w:ascii="Verdana" w:hAnsi="Verdana"/>
          <w:sz w:val="16"/>
          <w:szCs w:val="16"/>
        </w:rPr>
        <w:footnoteRef/>
      </w:r>
      <w:r w:rsidR="00503A08">
        <w:rPr>
          <w:rFonts w:ascii="Verdana" w:hAnsi="Verdana"/>
          <w:sz w:val="16"/>
          <w:szCs w:val="16"/>
        </w:rPr>
        <w:t xml:space="preserve"> </w:t>
      </w:r>
      <w:hyperlink r:id="rId3" w:history="1">
        <w:r w:rsidR="00503A08" w:rsidRPr="00D22ACA">
          <w:rPr>
            <w:rStyle w:val="Hyperlink"/>
            <w:rFonts w:ascii="Verdana" w:hAnsi="Verdana"/>
            <w:sz w:val="16"/>
            <w:szCs w:val="16"/>
          </w:rPr>
          <w:t>https://www.iea.org/energy-system/low-emission-fuels/biofuels</w:t>
        </w:r>
      </w:hyperlink>
      <w:r w:rsidR="00503A08">
        <w:rPr>
          <w:rFonts w:ascii="Verdana" w:hAnsi="Verdana"/>
          <w:sz w:val="16"/>
          <w:szCs w:val="16"/>
        </w:rPr>
        <w:t>.</w:t>
      </w:r>
    </w:p>
  </w:footnote>
  <w:footnote w:id="7">
    <w:p w14:paraId="3C7C8701" w14:textId="77777777" w:rsidR="00276BED" w:rsidRPr="00021320" w:rsidRDefault="00276BED" w:rsidP="00375DA3">
      <w:pPr>
        <w:pStyle w:val="Voetnoottekst"/>
        <w:ind w:left="0" w:firstLine="0"/>
        <w:rPr>
          <w:rFonts w:ascii="Verdana" w:hAnsi="Verdana"/>
          <w:kern w:val="2"/>
          <w:sz w:val="16"/>
          <w:szCs w:val="16"/>
          <w14:ligatures w14:val="standardContextual"/>
        </w:rPr>
      </w:pPr>
      <w:r w:rsidRPr="00021320">
        <w:rPr>
          <w:rStyle w:val="Voetnootmarkering"/>
          <w:rFonts w:ascii="Verdana" w:hAnsi="Verdana"/>
          <w:sz w:val="16"/>
          <w:szCs w:val="16"/>
        </w:rPr>
        <w:footnoteRef/>
      </w:r>
      <w:r w:rsidRPr="00021320">
        <w:rPr>
          <w:rFonts w:ascii="Verdana" w:hAnsi="Verdana"/>
          <w:sz w:val="16"/>
          <w:szCs w:val="16"/>
        </w:rPr>
        <w:t xml:space="preserve"> Lloyd’s Register, </w:t>
      </w:r>
      <w:r w:rsidRPr="00021320">
        <w:rPr>
          <w:rFonts w:ascii="Verdana" w:hAnsi="Verdana"/>
          <w:i/>
          <w:iCs/>
          <w:sz w:val="16"/>
          <w:szCs w:val="16"/>
        </w:rPr>
        <w:t>“White Paper: Fuel for thought: Biofuel</w:t>
      </w:r>
      <w:r w:rsidRPr="00021320">
        <w:rPr>
          <w:rFonts w:ascii="Verdana" w:hAnsi="Verdana"/>
          <w:sz w:val="16"/>
          <w:szCs w:val="16"/>
        </w:rPr>
        <w:t xml:space="preserve">”, August 2024, </w:t>
      </w:r>
      <w:hyperlink r:id="rId4" w:history="1">
        <w:r w:rsidRPr="00021320">
          <w:rPr>
            <w:rStyle w:val="Hyperlink"/>
            <w:rFonts w:ascii="Verdana" w:hAnsi="Verdana"/>
            <w:sz w:val="16"/>
            <w:szCs w:val="16"/>
          </w:rPr>
          <w:t>maritime.lr.org/</w:t>
        </w:r>
        <w:proofErr w:type="spellStart"/>
        <w:r w:rsidRPr="00021320">
          <w:rPr>
            <w:rStyle w:val="Hyperlink"/>
            <w:rFonts w:ascii="Verdana" w:hAnsi="Verdana"/>
            <w:sz w:val="16"/>
            <w:szCs w:val="16"/>
          </w:rPr>
          <w:t>fft</w:t>
        </w:r>
        <w:proofErr w:type="spellEnd"/>
        <w:r w:rsidRPr="00021320">
          <w:rPr>
            <w:rStyle w:val="Hyperlink"/>
            <w:rFonts w:ascii="Verdana" w:hAnsi="Verdana"/>
            <w:sz w:val="16"/>
            <w:szCs w:val="16"/>
          </w:rPr>
          <w:t>-biofuel</w:t>
        </w:r>
      </w:hyperlink>
    </w:p>
  </w:footnote>
  <w:footnote w:id="8">
    <w:p w14:paraId="1053F853" w14:textId="77777777" w:rsidR="00276BED" w:rsidRPr="00021320" w:rsidRDefault="00276BED" w:rsidP="00375DA3">
      <w:pPr>
        <w:pStyle w:val="Voetnoottekst"/>
        <w:ind w:left="0" w:firstLine="0"/>
        <w:rPr>
          <w:rFonts w:ascii="Verdana" w:hAnsi="Verdana"/>
          <w:sz w:val="16"/>
          <w:szCs w:val="16"/>
        </w:rPr>
      </w:pPr>
      <w:r w:rsidRPr="00021320">
        <w:rPr>
          <w:rStyle w:val="Voetnootmarkering"/>
          <w:rFonts w:ascii="Verdana" w:hAnsi="Verdana"/>
          <w:sz w:val="16"/>
          <w:szCs w:val="16"/>
        </w:rPr>
        <w:footnoteRef/>
      </w:r>
      <w:r w:rsidRPr="00021320">
        <w:rPr>
          <w:rFonts w:ascii="Verdana" w:hAnsi="Verdana"/>
          <w:sz w:val="16"/>
          <w:szCs w:val="16"/>
        </w:rPr>
        <w:t xml:space="preserve"> ISO 8217:2024 includes FAME and synthetic or renewable paraffinic diesel fuels up to 100%.</w:t>
      </w:r>
    </w:p>
  </w:footnote>
  <w:footnote w:id="9">
    <w:p w14:paraId="006A3C28" w14:textId="77777777" w:rsidR="00276BED" w:rsidRPr="00021320" w:rsidRDefault="00276BED" w:rsidP="00375DA3">
      <w:pPr>
        <w:pStyle w:val="Voetnoottekst"/>
        <w:ind w:left="0" w:firstLine="0"/>
        <w:rPr>
          <w:rFonts w:ascii="Verdana" w:hAnsi="Verdana"/>
          <w:sz w:val="16"/>
          <w:szCs w:val="16"/>
        </w:rPr>
      </w:pPr>
      <w:r w:rsidRPr="00021320">
        <w:rPr>
          <w:rStyle w:val="Voetnootmarkering"/>
          <w:rFonts w:ascii="Verdana" w:hAnsi="Verdana"/>
          <w:sz w:val="16"/>
          <w:szCs w:val="16"/>
        </w:rPr>
        <w:footnoteRef/>
      </w:r>
      <w:r w:rsidRPr="00021320">
        <w:rPr>
          <w:rFonts w:ascii="Verdana" w:hAnsi="Verdana"/>
          <w:sz w:val="16"/>
          <w:szCs w:val="16"/>
        </w:rPr>
        <w:t xml:space="preserve"> Ship &amp; Bunker website, “What to Look Out for when Buying Biofuel Bunkers”, February 2024: </w:t>
      </w:r>
      <w:hyperlink r:id="rId5" w:history="1">
        <w:r w:rsidRPr="00021320">
          <w:rPr>
            <w:rFonts w:ascii="Verdana" w:hAnsi="Verdana"/>
            <w:sz w:val="16"/>
            <w:szCs w:val="16"/>
          </w:rPr>
          <w:t>INSIGHT: What to Look Out for When Buying Biofuel Bunkers - Ship &amp; Bunker</w:t>
        </w:r>
      </w:hyperlink>
    </w:p>
  </w:footnote>
  <w:footnote w:id="10">
    <w:p w14:paraId="06928042" w14:textId="77777777" w:rsidR="00276BED" w:rsidRPr="00021320" w:rsidRDefault="00276BED" w:rsidP="00375DA3">
      <w:pPr>
        <w:pStyle w:val="Voetnoottekst"/>
        <w:ind w:left="0" w:firstLine="0"/>
        <w:rPr>
          <w:rFonts w:ascii="Verdana" w:hAnsi="Verdana"/>
          <w:sz w:val="16"/>
          <w:szCs w:val="16"/>
        </w:rPr>
      </w:pPr>
      <w:r w:rsidRPr="00021320">
        <w:rPr>
          <w:rStyle w:val="Voetnootmarkering"/>
          <w:rFonts w:ascii="Verdana" w:hAnsi="Verdana"/>
          <w:sz w:val="16"/>
          <w:szCs w:val="16"/>
        </w:rPr>
        <w:footnoteRef/>
      </w:r>
      <w:r w:rsidRPr="00021320">
        <w:rPr>
          <w:rFonts w:ascii="Verdana" w:hAnsi="Verdana"/>
          <w:sz w:val="16"/>
          <w:szCs w:val="16"/>
        </w:rPr>
        <w:t xml:space="preserve"> The most common sold blend in Singapore to date has been B24, and in Rotterdam B30; e.g. 24% and 30% biofuel blended with 76% and 70% diesel, respectively. </w:t>
      </w:r>
    </w:p>
  </w:footnote>
  <w:footnote w:id="11">
    <w:p w14:paraId="3D4F2085" w14:textId="77777777" w:rsidR="00276BED" w:rsidRPr="00021320" w:rsidRDefault="00276BED" w:rsidP="00375DA3">
      <w:pPr>
        <w:pStyle w:val="Voetnoottekst"/>
        <w:ind w:left="0" w:firstLine="0"/>
        <w:rPr>
          <w:rFonts w:ascii="Verdana" w:hAnsi="Verdana"/>
          <w:sz w:val="16"/>
          <w:szCs w:val="16"/>
        </w:rPr>
      </w:pPr>
      <w:r w:rsidRPr="00021320">
        <w:rPr>
          <w:rStyle w:val="Voetnootmarkering"/>
          <w:rFonts w:ascii="Verdana" w:hAnsi="Verdana"/>
          <w:sz w:val="16"/>
          <w:szCs w:val="16"/>
        </w:rPr>
        <w:footnoteRef/>
      </w:r>
      <w:r w:rsidRPr="00021320">
        <w:rPr>
          <w:rFonts w:ascii="Verdana" w:hAnsi="Verdana"/>
          <w:sz w:val="16"/>
          <w:szCs w:val="16"/>
        </w:rPr>
        <w:t xml:space="preserve"> Chemical bonding would require a reaction (e.g., esterification, hydrogenation) between the two fuel types. In blending, there is no chemical reaction—just mixing under controlled conditions.</w:t>
      </w:r>
    </w:p>
  </w:footnote>
  <w:footnote w:id="12">
    <w:p w14:paraId="1F9F6AAA" w14:textId="77777777" w:rsidR="00276BED" w:rsidRPr="00021320" w:rsidRDefault="00276BED" w:rsidP="00375DA3">
      <w:pPr>
        <w:pStyle w:val="Voetnoottekst"/>
        <w:ind w:left="0" w:firstLine="0"/>
        <w:rPr>
          <w:rFonts w:ascii="Verdana" w:hAnsi="Verdana"/>
          <w:sz w:val="16"/>
          <w:szCs w:val="16"/>
        </w:rPr>
      </w:pPr>
      <w:r w:rsidRPr="00021320">
        <w:rPr>
          <w:rStyle w:val="Voetnootmarkering"/>
          <w:rFonts w:ascii="Verdana" w:hAnsi="Verdana"/>
          <w:sz w:val="16"/>
          <w:szCs w:val="16"/>
        </w:rPr>
        <w:footnoteRef/>
      </w:r>
      <w:r w:rsidRPr="00021320">
        <w:rPr>
          <w:rFonts w:ascii="Verdana" w:hAnsi="Verdana"/>
          <w:sz w:val="16"/>
          <w:szCs w:val="16"/>
        </w:rPr>
        <w:t xml:space="preserve"> ITOPF, ‘Fate, Behaviour and Potential Damages &amp; Liabilities Arising from a Spill of Biofuels into the Marine Environment - Report for the International Group of P&amp;I Clubs Alternative Fuels Working Group’, May 2024, </w:t>
      </w:r>
      <w:hyperlink r:id="rId6" w:history="1">
        <w:r w:rsidRPr="00021320">
          <w:rPr>
            <w:rStyle w:val="Hyperlink"/>
            <w:rFonts w:ascii="Verdana" w:hAnsi="Verdana"/>
            <w:sz w:val="16"/>
            <w:szCs w:val="16"/>
          </w:rPr>
          <w:t>https://www.itopf.org/knowledge-resources/documents-guides/fate-behaviour-potential-damage-liabilities-arising-from-a-spill-of-biofuels-in-the-marine-environment/</w:t>
        </w:r>
      </w:hyperlink>
      <w:r w:rsidRPr="00021320">
        <w:rPr>
          <w:rFonts w:ascii="Verdana" w:hAnsi="Verdana"/>
          <w:sz w:val="16"/>
          <w:szCs w:val="16"/>
        </w:rPr>
        <w:t xml:space="preserve"> </w:t>
      </w:r>
    </w:p>
  </w:footnote>
  <w:footnote w:id="13">
    <w:p w14:paraId="41CBB5E7" w14:textId="4E371845" w:rsidR="00276BED" w:rsidRPr="00021320" w:rsidRDefault="00276BED" w:rsidP="00375DA3">
      <w:pPr>
        <w:pStyle w:val="Voetnoottekst"/>
        <w:ind w:left="0" w:firstLine="0"/>
        <w:rPr>
          <w:rFonts w:ascii="Verdana" w:hAnsi="Verdana"/>
          <w:sz w:val="16"/>
          <w:szCs w:val="16"/>
        </w:rPr>
      </w:pPr>
      <w:r w:rsidRPr="00021320">
        <w:rPr>
          <w:rStyle w:val="Voetnootmarkering"/>
          <w:rFonts w:ascii="Verdana" w:hAnsi="Verdana"/>
          <w:sz w:val="16"/>
          <w:szCs w:val="16"/>
        </w:rPr>
        <w:footnoteRef/>
      </w:r>
      <w:r w:rsidRPr="00021320">
        <w:rPr>
          <w:rFonts w:ascii="Verdana" w:hAnsi="Verdana"/>
          <w:sz w:val="16"/>
          <w:szCs w:val="16"/>
        </w:rPr>
        <w:t xml:space="preserve"> The international’s civil liability regime application for oil pollution in relation to alternative fuels has been described in more detail in the Tokyo Document; </w:t>
      </w:r>
      <w:r w:rsidR="001A0DDA" w:rsidRPr="001A0DDA">
        <w:rPr>
          <w:rFonts w:ascii="Verdana" w:hAnsi="Verdana"/>
          <w:sz w:val="16"/>
          <w:szCs w:val="16"/>
        </w:rPr>
        <w:t>LEG 113/INF.2.</w:t>
      </w:r>
      <w:r w:rsidRPr="00021320">
        <w:rPr>
          <w:rFonts w:ascii="Verdana" w:hAnsi="Verdana"/>
          <w:sz w:val="16"/>
          <w:szCs w:val="16"/>
        </w:rPr>
        <w:t xml:space="preserve"> </w:t>
      </w:r>
    </w:p>
  </w:footnote>
  <w:footnote w:id="14">
    <w:p w14:paraId="3F0E36F6" w14:textId="77777777" w:rsidR="00276BED" w:rsidRPr="00021320" w:rsidRDefault="00276BED" w:rsidP="00375DA3">
      <w:pPr>
        <w:rPr>
          <w:rFonts w:ascii="Verdana" w:hAnsi="Verdana"/>
          <w:sz w:val="16"/>
          <w:szCs w:val="16"/>
        </w:rPr>
      </w:pPr>
      <w:r w:rsidRPr="00021320">
        <w:rPr>
          <w:rStyle w:val="Voetnootmarkering"/>
          <w:rFonts w:ascii="Verdana" w:hAnsi="Verdana"/>
          <w:sz w:val="16"/>
          <w:szCs w:val="16"/>
        </w:rPr>
        <w:footnoteRef/>
      </w:r>
      <w:r w:rsidRPr="00021320">
        <w:rPr>
          <w:rFonts w:ascii="Verdana" w:hAnsi="Verdana"/>
          <w:sz w:val="16"/>
          <w:szCs w:val="16"/>
        </w:rPr>
        <w:t xml:space="preserve"> Mineral means from a mineral source, i.e. it comes from naturally occurring petroleum, not from plants or animals. See, for example: </w:t>
      </w:r>
      <w:hyperlink r:id="rId7" w:anchor=":~:text=Mineral%20oil%20hydrocarbons%20(MOH)%20comprise,(Mineral%20Oil%20Aromatic%20Hydrocarbons)." w:history="1">
        <w:r w:rsidRPr="00021320">
          <w:rPr>
            <w:rStyle w:val="Hyperlink"/>
            <w:rFonts w:ascii="Verdana" w:hAnsi="Verdana"/>
            <w:sz w:val="16"/>
            <w:szCs w:val="16"/>
          </w:rPr>
          <w:t>Mineral oil hydrocarbons | EFSA</w:t>
        </w:r>
      </w:hyperlink>
    </w:p>
  </w:footnote>
  <w:footnote w:id="15">
    <w:p w14:paraId="1F5F3F41" w14:textId="77777777" w:rsidR="00276BED" w:rsidRPr="00021320" w:rsidRDefault="00276BED" w:rsidP="00375DA3">
      <w:pPr>
        <w:pStyle w:val="Voetnoottekst"/>
        <w:ind w:left="0" w:firstLine="0"/>
        <w:rPr>
          <w:rFonts w:ascii="Verdana" w:hAnsi="Verdana"/>
          <w:sz w:val="16"/>
          <w:szCs w:val="16"/>
        </w:rPr>
      </w:pPr>
      <w:r w:rsidRPr="00021320">
        <w:rPr>
          <w:rStyle w:val="Voetnootmarkering"/>
          <w:rFonts w:ascii="Verdana" w:hAnsi="Verdana"/>
          <w:sz w:val="16"/>
          <w:szCs w:val="16"/>
        </w:rPr>
        <w:footnoteRef/>
      </w:r>
      <w:r w:rsidRPr="00021320">
        <w:rPr>
          <w:rFonts w:ascii="Verdana" w:hAnsi="Verdana"/>
          <w:sz w:val="16"/>
          <w:szCs w:val="16"/>
        </w:rPr>
        <w:t xml:space="preserve"> This is consistent with ITOPF’s view that biofuels do not fall within the definition of oil in the meaning of the Bunkers Convention as biomass-based oil is not considered as a mineral oil. ITOPF does recognize that the Bunkers Convention itself does not clarify whether biofuel blends, and if so, up to what percentage, are admissible.</w:t>
      </w:r>
    </w:p>
  </w:footnote>
  <w:footnote w:id="16">
    <w:p w14:paraId="240A69D2" w14:textId="77777777" w:rsidR="00276BED" w:rsidRPr="00021320" w:rsidRDefault="00276BED" w:rsidP="00375DA3">
      <w:pPr>
        <w:pStyle w:val="Voetnoottekst"/>
        <w:ind w:left="0" w:firstLine="0"/>
        <w:rPr>
          <w:rFonts w:ascii="Verdana" w:hAnsi="Verdana"/>
          <w:sz w:val="16"/>
          <w:szCs w:val="16"/>
        </w:rPr>
      </w:pPr>
      <w:r w:rsidRPr="00021320">
        <w:rPr>
          <w:rStyle w:val="Voetnootmarkering"/>
          <w:rFonts w:ascii="Verdana" w:hAnsi="Verdana"/>
          <w:sz w:val="16"/>
          <w:szCs w:val="16"/>
        </w:rPr>
        <w:footnoteRef/>
      </w:r>
      <w:r w:rsidRPr="00021320">
        <w:rPr>
          <w:rFonts w:ascii="Verdana" w:hAnsi="Verdana"/>
          <w:sz w:val="16"/>
          <w:szCs w:val="16"/>
        </w:rPr>
        <w:t xml:space="preserve"> Article IV CLC provides for a joint and several liability of all owners involved for all damage “which is not reasonably separable</w:t>
      </w:r>
      <w:r>
        <w:rPr>
          <w:rFonts w:ascii="Verdana" w:hAnsi="Verdana"/>
          <w:sz w:val="16"/>
          <w:szCs w:val="16"/>
        </w:rPr>
        <w:t>.</w:t>
      </w:r>
      <w:r w:rsidRPr="00021320">
        <w:rPr>
          <w:rFonts w:ascii="Verdana" w:hAnsi="Verdana"/>
          <w:sz w:val="16"/>
          <w:szCs w:val="16"/>
        </w:rPr>
        <w:t>” Similarly, in Article 8(1) of the HNS Convention</w:t>
      </w:r>
      <w:r>
        <w:rPr>
          <w:rFonts w:ascii="Verdana" w:hAnsi="Verdana"/>
          <w:sz w:val="16"/>
          <w:szCs w:val="16"/>
        </w:rPr>
        <w:t xml:space="preserve"> 2010</w:t>
      </w:r>
      <w:r w:rsidRPr="00021320">
        <w:rPr>
          <w:rFonts w:ascii="Verdana" w:hAnsi="Verdana"/>
          <w:sz w:val="16"/>
          <w:szCs w:val="16"/>
        </w:rPr>
        <w:t xml:space="preserve"> and 5 of the Bunkers Convention.</w:t>
      </w:r>
    </w:p>
  </w:footnote>
  <w:footnote w:id="17">
    <w:p w14:paraId="3E8A6286" w14:textId="77777777" w:rsidR="00276BED" w:rsidRPr="00021320" w:rsidRDefault="00276BED" w:rsidP="00375DA3">
      <w:pPr>
        <w:pStyle w:val="Voetnoottekst"/>
        <w:ind w:left="0" w:firstLine="0"/>
        <w:rPr>
          <w:rFonts w:ascii="Verdana" w:hAnsi="Verdana"/>
          <w:sz w:val="16"/>
          <w:szCs w:val="16"/>
        </w:rPr>
      </w:pPr>
      <w:r w:rsidRPr="00021320">
        <w:rPr>
          <w:rStyle w:val="Voetnootmarkering"/>
          <w:rFonts w:ascii="Verdana" w:hAnsi="Verdana"/>
          <w:sz w:val="16"/>
          <w:szCs w:val="16"/>
        </w:rPr>
        <w:footnoteRef/>
      </w:r>
      <w:r w:rsidRPr="00021320">
        <w:rPr>
          <w:rFonts w:ascii="Verdana" w:hAnsi="Verdana"/>
          <w:sz w:val="16"/>
          <w:szCs w:val="16"/>
        </w:rPr>
        <w:t xml:space="preserve"> Shipowners and their insurers might consider that the use of B99 (with a 1% mineral oil content) would offer virtually all the decarbonization benefits of B100, whilst also offering the certainty and benefits of falling within the Bunkers Convention (i.e. associated Blue Card cover, for example).</w:t>
      </w:r>
    </w:p>
  </w:footnote>
  <w:footnote w:id="18">
    <w:p w14:paraId="5DF28239" w14:textId="77777777" w:rsidR="00276BED" w:rsidRPr="00021320" w:rsidRDefault="00276BED" w:rsidP="00375DA3">
      <w:pPr>
        <w:pStyle w:val="Voetnoottekst"/>
        <w:ind w:left="0" w:firstLine="0"/>
        <w:rPr>
          <w:rFonts w:ascii="Verdana" w:hAnsi="Verdana"/>
          <w:sz w:val="16"/>
          <w:szCs w:val="16"/>
        </w:rPr>
      </w:pPr>
      <w:r w:rsidRPr="00021320">
        <w:rPr>
          <w:rStyle w:val="Voetnootmarkering"/>
          <w:rFonts w:ascii="Verdana" w:hAnsi="Verdana"/>
          <w:sz w:val="16"/>
          <w:szCs w:val="16"/>
        </w:rPr>
        <w:footnoteRef/>
      </w:r>
      <w:r w:rsidRPr="00021320">
        <w:rPr>
          <w:rFonts w:ascii="Verdana" w:hAnsi="Verdana"/>
          <w:sz w:val="16"/>
          <w:szCs w:val="16"/>
        </w:rPr>
        <w:t xml:space="preserve"> Under Article 31 of the Vienna Convention on the Law of Treaties (“VCLT”), teleological reasoning cannot override clear textual limitations unless ambiguity exists. It seems hard to argue that this is the case as the terms ‘mineral’ and ‘persistent’ are, considering the ordinary meaning of these words in the specific context of marine oil pollution regimes, not evidently ambiguous. </w:t>
      </w:r>
    </w:p>
  </w:footnote>
  <w:footnote w:id="19">
    <w:p w14:paraId="3B7AB2DA" w14:textId="77777777" w:rsidR="00276BED" w:rsidRPr="00021320" w:rsidRDefault="00276BED" w:rsidP="00375DA3">
      <w:pPr>
        <w:pStyle w:val="Voetnoottekst"/>
        <w:ind w:left="0" w:firstLine="0"/>
        <w:rPr>
          <w:rFonts w:ascii="Verdana" w:hAnsi="Verdana"/>
          <w:sz w:val="16"/>
          <w:szCs w:val="16"/>
        </w:rPr>
      </w:pPr>
      <w:r w:rsidRPr="00021320">
        <w:rPr>
          <w:rStyle w:val="Voetnootmarkering"/>
          <w:rFonts w:ascii="Verdana" w:hAnsi="Verdana"/>
          <w:sz w:val="16"/>
          <w:szCs w:val="16"/>
        </w:rPr>
        <w:footnoteRef/>
      </w:r>
      <w:r w:rsidRPr="00021320">
        <w:rPr>
          <w:rFonts w:ascii="Verdana" w:hAnsi="Verdana"/>
          <w:sz w:val="16"/>
          <w:szCs w:val="16"/>
        </w:rPr>
        <w:t xml:space="preserve"> J. Fano, ‘Annex VI: Regulation 14: Sulphur emissions’, in: H. Ringbom et al. (eds.), </w:t>
      </w:r>
      <w:r w:rsidRPr="00021320">
        <w:rPr>
          <w:rFonts w:ascii="Verdana" w:hAnsi="Verdana"/>
          <w:i/>
          <w:iCs/>
          <w:sz w:val="16"/>
          <w:szCs w:val="16"/>
        </w:rPr>
        <w:t>The International Convention for the Prevention of the Pollution from Ships – A Commentary,</w:t>
      </w:r>
      <w:r w:rsidRPr="00021320">
        <w:rPr>
          <w:rFonts w:ascii="Verdana" w:hAnsi="Verdana"/>
          <w:sz w:val="16"/>
          <w:szCs w:val="16"/>
        </w:rPr>
        <w:t xml:space="preserve"> 2025, p. 93. It has also been argued that the same applies for B100 biofuels. J. Kämäräinen, ‘Annex VI: Air Pollution Substances’, in H. Ringbom et al. (eds.), p. 416-</w:t>
      </w:r>
      <w:r>
        <w:rPr>
          <w:rFonts w:ascii="Verdana" w:hAnsi="Verdana"/>
          <w:sz w:val="16"/>
          <w:szCs w:val="16"/>
        </w:rPr>
        <w:t>417</w:t>
      </w:r>
      <w:r w:rsidRPr="00021320">
        <w:rPr>
          <w:rFonts w:ascii="Verdana" w:hAnsi="Verdana"/>
          <w:sz w:val="16"/>
          <w:szCs w:val="16"/>
        </w:rPr>
        <w:t>.</w:t>
      </w:r>
    </w:p>
  </w:footnote>
  <w:footnote w:id="20">
    <w:p w14:paraId="6D2C2F7B" w14:textId="77777777" w:rsidR="00276BED" w:rsidRPr="00021320" w:rsidRDefault="00276BED" w:rsidP="00375DA3">
      <w:pPr>
        <w:pStyle w:val="Voetnoottekst"/>
        <w:ind w:left="0" w:firstLine="0"/>
        <w:rPr>
          <w:rFonts w:ascii="Verdana" w:hAnsi="Verdana"/>
          <w:sz w:val="16"/>
          <w:szCs w:val="16"/>
        </w:rPr>
      </w:pPr>
      <w:r w:rsidRPr="00021320">
        <w:rPr>
          <w:rStyle w:val="Voetnootmarkering"/>
          <w:rFonts w:ascii="Verdana" w:hAnsi="Verdana"/>
          <w:sz w:val="16"/>
          <w:szCs w:val="16"/>
        </w:rPr>
        <w:footnoteRef/>
      </w:r>
      <w:r w:rsidRPr="00021320">
        <w:rPr>
          <w:rFonts w:ascii="Verdana" w:hAnsi="Verdana"/>
          <w:sz w:val="16"/>
          <w:szCs w:val="16"/>
        </w:rPr>
        <w:t xml:space="preserve"> </w:t>
      </w:r>
      <w:hyperlink r:id="rId8" w:history="1">
        <w:r w:rsidRPr="00021320">
          <w:rPr>
            <w:rStyle w:val="Hyperlink"/>
            <w:rFonts w:ascii="Verdana" w:hAnsi="Verdana"/>
            <w:sz w:val="16"/>
            <w:szCs w:val="16"/>
          </w:rPr>
          <w:t>IOPC-Funds-Guide-to-Persistent-Oil-and-Contributing-Oils_e.pdf</w:t>
        </w:r>
      </w:hyperlink>
      <w:r w:rsidRPr="00021320">
        <w:rPr>
          <w:rFonts w:ascii="Verdana" w:hAnsi="Verdana"/>
          <w:sz w:val="16"/>
          <w:szCs w:val="16"/>
        </w:rPr>
        <w:t xml:space="preserve">, 2024, p. 12. </w:t>
      </w:r>
    </w:p>
  </w:footnote>
  <w:footnote w:id="21">
    <w:p w14:paraId="53267D2A" w14:textId="77777777" w:rsidR="00276BED" w:rsidRPr="00021320" w:rsidRDefault="00276BED" w:rsidP="00375DA3">
      <w:pPr>
        <w:pStyle w:val="Voetnoottekst"/>
        <w:ind w:left="0" w:firstLine="0"/>
        <w:rPr>
          <w:rFonts w:ascii="Verdana" w:hAnsi="Verdana"/>
          <w:sz w:val="16"/>
          <w:szCs w:val="16"/>
        </w:rPr>
      </w:pPr>
      <w:r w:rsidRPr="00021320">
        <w:rPr>
          <w:rStyle w:val="Voetnootmarkering"/>
          <w:rFonts w:ascii="Verdana" w:hAnsi="Verdana"/>
          <w:sz w:val="16"/>
          <w:szCs w:val="16"/>
        </w:rPr>
        <w:footnoteRef/>
      </w:r>
      <w:r w:rsidRPr="00021320">
        <w:rPr>
          <w:rFonts w:ascii="Verdana" w:hAnsi="Verdana"/>
          <w:sz w:val="16"/>
          <w:szCs w:val="16"/>
        </w:rPr>
        <w:t xml:space="preserve"> The ordinary meaning of the term “bunker fuel oil” can include biofuel and biofuel blends. The meaning is not unreasonable in view of the purpose of the Wreck Removal Convention. </w:t>
      </w:r>
    </w:p>
  </w:footnote>
  <w:footnote w:id="22">
    <w:p w14:paraId="50AE0C85" w14:textId="4F346355" w:rsidR="007F3040" w:rsidRPr="007F3040" w:rsidRDefault="007F3040" w:rsidP="007F3040">
      <w:pPr>
        <w:pStyle w:val="Voetnoottekst"/>
        <w:tabs>
          <w:tab w:val="clear" w:pos="567"/>
          <w:tab w:val="left" w:pos="450"/>
        </w:tabs>
        <w:ind w:left="0" w:firstLine="0"/>
      </w:pPr>
      <w:r>
        <w:rPr>
          <w:rStyle w:val="Voetnootmarkering"/>
        </w:rPr>
        <w:footnoteRef/>
      </w:r>
      <w:r>
        <w:t xml:space="preserve"> </w:t>
      </w:r>
      <w:r w:rsidRPr="007F3040">
        <w:t>Under Art. 31.3(a) VCLT, such an interpretation shall be taken into account for the interpretation, together with the context.</w:t>
      </w:r>
    </w:p>
  </w:footnote>
  <w:footnote w:id="23">
    <w:p w14:paraId="214B4A61" w14:textId="5751D34D" w:rsidR="001B2CA0" w:rsidRPr="0018142F" w:rsidRDefault="001B2CA0" w:rsidP="0018142F">
      <w:pPr>
        <w:pStyle w:val="Voetnoottekst"/>
        <w:ind w:left="0" w:firstLine="0"/>
        <w:rPr>
          <w:rFonts w:ascii="Verdana" w:hAnsi="Verdana"/>
          <w:sz w:val="16"/>
          <w:szCs w:val="16"/>
          <w:lang w:val="en-US"/>
        </w:rPr>
      </w:pPr>
      <w:r w:rsidRPr="0018142F">
        <w:rPr>
          <w:rStyle w:val="Voetnootmarkering"/>
          <w:rFonts w:ascii="Verdana" w:hAnsi="Verdana"/>
          <w:sz w:val="16"/>
          <w:szCs w:val="16"/>
        </w:rPr>
        <w:footnoteRef/>
      </w:r>
      <w:r w:rsidRPr="0018142F">
        <w:rPr>
          <w:rFonts w:ascii="Verdana" w:hAnsi="Verdana"/>
          <w:sz w:val="16"/>
          <w:szCs w:val="16"/>
        </w:rPr>
        <w:t xml:space="preserve"> </w:t>
      </w:r>
      <w:r w:rsidR="007F3040">
        <w:rPr>
          <w:rFonts w:ascii="Verdana" w:hAnsi="Verdana"/>
          <w:sz w:val="16"/>
          <w:szCs w:val="16"/>
        </w:rPr>
        <w:t xml:space="preserve">Similar </w:t>
      </w:r>
      <w:r w:rsidRPr="0018142F">
        <w:rPr>
          <w:rFonts w:ascii="Verdana" w:hAnsi="Verdana"/>
          <w:sz w:val="16"/>
          <w:szCs w:val="16"/>
        </w:rPr>
        <w:t xml:space="preserve">to TOVALOP (Tanker Owners Voluntary Agreement concerning Liability for Oil Pollution), which was entered into by tanker owners in 1968. </w:t>
      </w:r>
      <w:r w:rsidR="007F3040">
        <w:rPr>
          <w:rFonts w:ascii="Verdana" w:hAnsi="Verdana"/>
          <w:sz w:val="16"/>
          <w:szCs w:val="16"/>
        </w:rPr>
        <w:t>A</w:t>
      </w:r>
      <w:r w:rsidRPr="0018142F">
        <w:rPr>
          <w:rFonts w:ascii="Verdana" w:hAnsi="Verdana"/>
          <w:sz w:val="16"/>
          <w:szCs w:val="16"/>
        </w:rPr>
        <w:t xml:space="preserve">n equivalent </w:t>
      </w:r>
      <w:r w:rsidR="007F3040">
        <w:rPr>
          <w:rFonts w:ascii="Verdana" w:hAnsi="Verdana"/>
          <w:sz w:val="16"/>
          <w:szCs w:val="16"/>
        </w:rPr>
        <w:t>to</w:t>
      </w:r>
      <w:r w:rsidRPr="0018142F">
        <w:rPr>
          <w:rFonts w:ascii="Verdana" w:hAnsi="Verdana"/>
          <w:sz w:val="16"/>
          <w:szCs w:val="16"/>
        </w:rPr>
        <w:t xml:space="preserve"> CRISTAL (Contract Regarding a Supplement to Tanker Liability for Oil Pollution) might be required </w:t>
      </w:r>
      <w:r w:rsidR="007F3040">
        <w:rPr>
          <w:rFonts w:ascii="Verdana" w:hAnsi="Verdana"/>
          <w:sz w:val="16"/>
          <w:szCs w:val="16"/>
        </w:rPr>
        <w:t>for severe incidents</w:t>
      </w:r>
      <w:r w:rsidRPr="0018142F">
        <w:rPr>
          <w:rFonts w:ascii="Verdana" w:hAnsi="Verdana"/>
          <w:sz w:val="16"/>
          <w:szCs w:val="16"/>
        </w:rPr>
        <w:t>.</w:t>
      </w:r>
    </w:p>
  </w:footnote>
  <w:footnote w:id="24">
    <w:p w14:paraId="6DB86042" w14:textId="77777777" w:rsidR="00276BED" w:rsidRPr="00021320" w:rsidRDefault="00276BED" w:rsidP="00375DA3">
      <w:pPr>
        <w:pStyle w:val="Voetnoottekst"/>
        <w:ind w:left="0" w:firstLine="0"/>
        <w:rPr>
          <w:rFonts w:ascii="Verdana" w:hAnsi="Verdana"/>
          <w:sz w:val="16"/>
          <w:szCs w:val="16"/>
          <w:lang w:val="en-AU"/>
        </w:rPr>
      </w:pPr>
      <w:r w:rsidRPr="00021320">
        <w:rPr>
          <w:rStyle w:val="Voetnootmarkering"/>
          <w:rFonts w:ascii="Verdana" w:hAnsi="Verdana"/>
          <w:sz w:val="16"/>
          <w:szCs w:val="16"/>
        </w:rPr>
        <w:footnoteRef/>
      </w:r>
      <w:r w:rsidRPr="00021320">
        <w:rPr>
          <w:rFonts w:ascii="Verdana" w:hAnsi="Verdana"/>
          <w:sz w:val="16"/>
          <w:szCs w:val="16"/>
        </w:rPr>
        <w:t xml:space="preserve"> </w:t>
      </w:r>
      <w:r w:rsidRPr="003B1098">
        <w:rPr>
          <w:rFonts w:ascii="Verdana" w:hAnsi="Verdana"/>
          <w:sz w:val="16"/>
          <w:szCs w:val="16"/>
          <w:lang w:val="en-AU"/>
        </w:rPr>
        <w:t>See Gothenburg</w:t>
      </w:r>
      <w:r w:rsidRPr="00021320">
        <w:rPr>
          <w:rFonts w:ascii="Verdana" w:hAnsi="Verdana"/>
          <w:sz w:val="16"/>
          <w:szCs w:val="16"/>
          <w:lang w:val="en-AU"/>
        </w:rPr>
        <w:t xml:space="preserve">/Tokyo paper </w:t>
      </w:r>
      <w:r>
        <w:rPr>
          <w:rFonts w:ascii="Verdana" w:hAnsi="Verdana"/>
          <w:sz w:val="16"/>
          <w:szCs w:val="16"/>
          <w:lang w:val="en-AU"/>
        </w:rPr>
        <w:t>supra note</w:t>
      </w:r>
      <w:r w:rsidRPr="00021320">
        <w:rPr>
          <w:rFonts w:ascii="Verdana" w:hAnsi="Verdana"/>
          <w:sz w:val="16"/>
          <w:szCs w:val="16"/>
          <w:lang w:val="en-AU"/>
        </w:rPr>
        <w:t xml:space="preserve"> 12.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C506EC" w14:textId="77777777" w:rsidR="008B3776" w:rsidRDefault="008B3776">
    <w:pPr>
      <w:pStyle w:val="Koptekst"/>
    </w:pPr>
  </w:p>
  <w:p w14:paraId="78A75682" w14:textId="60AF7593" w:rsidR="008B3776" w:rsidRDefault="00736183">
    <w:pPr>
      <w:pStyle w:val="Koptekst"/>
      <w:pBdr>
        <w:bottom w:val="single" w:sz="4" w:space="1" w:color="auto"/>
      </w:pBdr>
      <w:rPr>
        <w:rStyle w:val="Paginanummer"/>
      </w:rPr>
    </w:pPr>
    <w:r>
      <w:t>P</w:t>
    </w:r>
    <w:r w:rsidR="008B3776">
      <w:t xml:space="preserve">age </w:t>
    </w:r>
    <w:r w:rsidR="008B3776">
      <w:rPr>
        <w:rStyle w:val="Paginanummer"/>
      </w:rPr>
      <w:fldChar w:fldCharType="begin"/>
    </w:r>
    <w:r w:rsidR="008B3776">
      <w:rPr>
        <w:rStyle w:val="Paginanummer"/>
      </w:rPr>
      <w:instrText xml:space="preserve"> PAGE </w:instrText>
    </w:r>
    <w:r w:rsidR="008B3776">
      <w:rPr>
        <w:rStyle w:val="Paginanummer"/>
      </w:rPr>
      <w:fldChar w:fldCharType="separate"/>
    </w:r>
    <w:r w:rsidR="008B3776">
      <w:rPr>
        <w:rStyle w:val="Paginanummer"/>
        <w:noProof/>
      </w:rPr>
      <w:t>2</w:t>
    </w:r>
    <w:r w:rsidR="008B3776">
      <w:rPr>
        <w:rStyle w:val="Paginanummer"/>
      </w:rPr>
      <w:fldChar w:fldCharType="end"/>
    </w:r>
  </w:p>
  <w:p w14:paraId="46AEC412" w14:textId="77777777" w:rsidR="008B3776" w:rsidRDefault="008B377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FD10D3EA"/>
    <w:lvl w:ilvl="0">
      <w:start w:val="1"/>
      <w:numFmt w:val="decimal"/>
      <w:lvlText w:val="%1."/>
      <w:lvlJc w:val="left"/>
      <w:pPr>
        <w:tabs>
          <w:tab w:val="num" w:pos="643"/>
        </w:tabs>
        <w:ind w:left="643" w:hanging="360"/>
      </w:pPr>
    </w:lvl>
  </w:abstractNum>
  <w:abstractNum w:abstractNumId="1" w15:restartNumberingAfterBreak="0">
    <w:nsid w:val="FFFFFF80"/>
    <w:multiLevelType w:val="singleLevel"/>
    <w:tmpl w:val="306E52B4"/>
    <w:lvl w:ilvl="0">
      <w:start w:val="1"/>
      <w:numFmt w:val="bullet"/>
      <w:lvlText w:val=""/>
      <w:lvlJc w:val="left"/>
      <w:pPr>
        <w:tabs>
          <w:tab w:val="num" w:pos="1492"/>
        </w:tabs>
        <w:ind w:left="1492" w:hanging="360"/>
      </w:pPr>
      <w:rPr>
        <w:rFonts w:ascii="Symbol" w:hAnsi="Symbol" w:hint="default"/>
      </w:rPr>
    </w:lvl>
  </w:abstractNum>
  <w:abstractNum w:abstractNumId="2" w15:restartNumberingAfterBreak="0">
    <w:nsid w:val="FFFFFF81"/>
    <w:multiLevelType w:val="singleLevel"/>
    <w:tmpl w:val="2AE88AD4"/>
    <w:lvl w:ilvl="0">
      <w:start w:val="1"/>
      <w:numFmt w:val="bullet"/>
      <w:lvlText w:val=""/>
      <w:lvlJc w:val="left"/>
      <w:pPr>
        <w:tabs>
          <w:tab w:val="num" w:pos="1209"/>
        </w:tabs>
        <w:ind w:left="1209" w:hanging="360"/>
      </w:pPr>
      <w:rPr>
        <w:rFonts w:ascii="Symbol" w:hAnsi="Symbol" w:hint="default"/>
      </w:rPr>
    </w:lvl>
  </w:abstractNum>
  <w:abstractNum w:abstractNumId="3" w15:restartNumberingAfterBreak="0">
    <w:nsid w:val="FFFFFF82"/>
    <w:multiLevelType w:val="singleLevel"/>
    <w:tmpl w:val="3B104732"/>
    <w:lvl w:ilvl="0">
      <w:start w:val="1"/>
      <w:numFmt w:val="bullet"/>
      <w:lvlText w:val=""/>
      <w:lvlJc w:val="left"/>
      <w:pPr>
        <w:tabs>
          <w:tab w:val="num" w:pos="926"/>
        </w:tabs>
        <w:ind w:left="926" w:hanging="360"/>
      </w:pPr>
      <w:rPr>
        <w:rFonts w:ascii="Symbol" w:hAnsi="Symbol" w:hint="default"/>
      </w:rPr>
    </w:lvl>
  </w:abstractNum>
  <w:abstractNum w:abstractNumId="4" w15:restartNumberingAfterBreak="0">
    <w:nsid w:val="FFFFFF83"/>
    <w:multiLevelType w:val="singleLevel"/>
    <w:tmpl w:val="8CF288B8"/>
    <w:lvl w:ilvl="0">
      <w:start w:val="1"/>
      <w:numFmt w:val="bullet"/>
      <w:lvlText w:val=""/>
      <w:lvlJc w:val="left"/>
      <w:pPr>
        <w:tabs>
          <w:tab w:val="num" w:pos="643"/>
        </w:tabs>
        <w:ind w:left="643" w:hanging="360"/>
      </w:pPr>
      <w:rPr>
        <w:rFonts w:ascii="Symbol" w:hAnsi="Symbol" w:hint="default"/>
      </w:rPr>
    </w:lvl>
  </w:abstractNum>
  <w:abstractNum w:abstractNumId="5" w15:restartNumberingAfterBreak="0">
    <w:nsid w:val="FFFFFF88"/>
    <w:multiLevelType w:val="singleLevel"/>
    <w:tmpl w:val="90D8425C"/>
    <w:lvl w:ilvl="0">
      <w:start w:val="1"/>
      <w:numFmt w:val="decimal"/>
      <w:lvlText w:val="%1."/>
      <w:lvlJc w:val="left"/>
      <w:pPr>
        <w:tabs>
          <w:tab w:val="num" w:pos="360"/>
        </w:tabs>
        <w:ind w:left="360" w:hanging="360"/>
      </w:pPr>
    </w:lvl>
  </w:abstractNum>
  <w:abstractNum w:abstractNumId="6" w15:restartNumberingAfterBreak="0">
    <w:nsid w:val="FFFFFF89"/>
    <w:multiLevelType w:val="singleLevel"/>
    <w:tmpl w:val="6A6AEB1A"/>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0BE1B8AB"/>
    <w:multiLevelType w:val="multilevel"/>
    <w:tmpl w:val="171A86DE"/>
    <w:lvl w:ilvl="0">
      <w:numFmt w:val="none"/>
      <w:lvlText w:val=""/>
      <w:lvlJc w:val="left"/>
      <w:pPr>
        <w:tabs>
          <w:tab w:val="num" w:pos="360"/>
        </w:tabs>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0E516838"/>
    <w:multiLevelType w:val="multilevel"/>
    <w:tmpl w:val="1AB4C0D4"/>
    <w:lvl w:ilvl="0">
      <w:start w:val="1"/>
      <w:numFmt w:val="decimal"/>
      <w:lvlText w:val="%1."/>
      <w:lvlJc w:val="left"/>
      <w:pPr>
        <w:ind w:left="360" w:hanging="360"/>
      </w:pPr>
      <w:rPr>
        <w:i w:val="0"/>
        <w:iCs w:val="0"/>
      </w:rPr>
    </w:lvl>
    <w:lvl w:ilvl="1">
      <w:start w:val="1"/>
      <w:numFmt w:val="decimal"/>
      <w:lvlText w:val="%1.%2."/>
      <w:lvlJc w:val="left"/>
      <w:pPr>
        <w:ind w:left="432" w:hanging="432"/>
      </w:pPr>
      <w:rPr>
        <w:i w:val="0"/>
        <w:iCs w:val="0"/>
      </w:rPr>
    </w:lvl>
    <w:lvl w:ilvl="2">
      <w:start w:val="1"/>
      <w:numFmt w:val="decimal"/>
      <w:lvlText w:val="%1.%2.%3."/>
      <w:lvlJc w:val="left"/>
      <w:pPr>
        <w:ind w:left="1224" w:hanging="504"/>
      </w:pPr>
      <w:rPr>
        <w:i w:val="0"/>
        <w:i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0F7F1C0A"/>
    <w:multiLevelType w:val="hybridMultilevel"/>
    <w:tmpl w:val="2CFC161E"/>
    <w:lvl w:ilvl="0" w:tplc="7CF2EE80">
      <w:start w:val="1"/>
      <w:numFmt w:val="decimal"/>
      <w:lvlText w:val="%1."/>
      <w:lvlJc w:val="left"/>
      <w:pPr>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10012212"/>
    <w:multiLevelType w:val="hybridMultilevel"/>
    <w:tmpl w:val="5BE26AAC"/>
    <w:lvl w:ilvl="0" w:tplc="8ED2B110">
      <w:start w:val="6"/>
      <w:numFmt w:val="bullet"/>
      <w:lvlText w:val="-"/>
      <w:lvlJc w:val="left"/>
      <w:pPr>
        <w:ind w:left="2088" w:hanging="360"/>
      </w:pPr>
      <w:rPr>
        <w:rFonts w:ascii="Museo Sans 300" w:eastAsiaTheme="minorHAnsi" w:hAnsi="Museo Sans 300" w:cs="Calibri" w:hint="default"/>
      </w:rPr>
    </w:lvl>
    <w:lvl w:ilvl="1" w:tplc="04130003" w:tentative="1">
      <w:start w:val="1"/>
      <w:numFmt w:val="bullet"/>
      <w:lvlText w:val="o"/>
      <w:lvlJc w:val="left"/>
      <w:pPr>
        <w:ind w:left="2808" w:hanging="360"/>
      </w:pPr>
      <w:rPr>
        <w:rFonts w:ascii="Courier New" w:hAnsi="Courier New" w:cs="Courier New" w:hint="default"/>
      </w:rPr>
    </w:lvl>
    <w:lvl w:ilvl="2" w:tplc="04130005" w:tentative="1">
      <w:start w:val="1"/>
      <w:numFmt w:val="bullet"/>
      <w:lvlText w:val=""/>
      <w:lvlJc w:val="left"/>
      <w:pPr>
        <w:ind w:left="3528" w:hanging="360"/>
      </w:pPr>
      <w:rPr>
        <w:rFonts w:ascii="Wingdings" w:hAnsi="Wingdings" w:hint="default"/>
      </w:rPr>
    </w:lvl>
    <w:lvl w:ilvl="3" w:tplc="04130001" w:tentative="1">
      <w:start w:val="1"/>
      <w:numFmt w:val="bullet"/>
      <w:lvlText w:val=""/>
      <w:lvlJc w:val="left"/>
      <w:pPr>
        <w:ind w:left="4248" w:hanging="360"/>
      </w:pPr>
      <w:rPr>
        <w:rFonts w:ascii="Symbol" w:hAnsi="Symbol" w:hint="default"/>
      </w:rPr>
    </w:lvl>
    <w:lvl w:ilvl="4" w:tplc="04130003" w:tentative="1">
      <w:start w:val="1"/>
      <w:numFmt w:val="bullet"/>
      <w:lvlText w:val="o"/>
      <w:lvlJc w:val="left"/>
      <w:pPr>
        <w:ind w:left="4968" w:hanging="360"/>
      </w:pPr>
      <w:rPr>
        <w:rFonts w:ascii="Courier New" w:hAnsi="Courier New" w:cs="Courier New" w:hint="default"/>
      </w:rPr>
    </w:lvl>
    <w:lvl w:ilvl="5" w:tplc="04130005" w:tentative="1">
      <w:start w:val="1"/>
      <w:numFmt w:val="bullet"/>
      <w:lvlText w:val=""/>
      <w:lvlJc w:val="left"/>
      <w:pPr>
        <w:ind w:left="5688" w:hanging="360"/>
      </w:pPr>
      <w:rPr>
        <w:rFonts w:ascii="Wingdings" w:hAnsi="Wingdings" w:hint="default"/>
      </w:rPr>
    </w:lvl>
    <w:lvl w:ilvl="6" w:tplc="04130001" w:tentative="1">
      <w:start w:val="1"/>
      <w:numFmt w:val="bullet"/>
      <w:lvlText w:val=""/>
      <w:lvlJc w:val="left"/>
      <w:pPr>
        <w:ind w:left="6408" w:hanging="360"/>
      </w:pPr>
      <w:rPr>
        <w:rFonts w:ascii="Symbol" w:hAnsi="Symbol" w:hint="default"/>
      </w:rPr>
    </w:lvl>
    <w:lvl w:ilvl="7" w:tplc="04130003" w:tentative="1">
      <w:start w:val="1"/>
      <w:numFmt w:val="bullet"/>
      <w:lvlText w:val="o"/>
      <w:lvlJc w:val="left"/>
      <w:pPr>
        <w:ind w:left="7128" w:hanging="360"/>
      </w:pPr>
      <w:rPr>
        <w:rFonts w:ascii="Courier New" w:hAnsi="Courier New" w:cs="Courier New" w:hint="default"/>
      </w:rPr>
    </w:lvl>
    <w:lvl w:ilvl="8" w:tplc="04130005" w:tentative="1">
      <w:start w:val="1"/>
      <w:numFmt w:val="bullet"/>
      <w:lvlText w:val=""/>
      <w:lvlJc w:val="left"/>
      <w:pPr>
        <w:ind w:left="7848" w:hanging="360"/>
      </w:pPr>
      <w:rPr>
        <w:rFonts w:ascii="Wingdings" w:hAnsi="Wingdings" w:hint="default"/>
      </w:rPr>
    </w:lvl>
  </w:abstractNum>
  <w:abstractNum w:abstractNumId="11" w15:restartNumberingAfterBreak="0">
    <w:nsid w:val="11662029"/>
    <w:multiLevelType w:val="multilevel"/>
    <w:tmpl w:val="08E0E83A"/>
    <w:lvl w:ilvl="0">
      <w:start w:val="4"/>
      <w:numFmt w:val="decimal"/>
      <w:lvlText w:val="%1"/>
      <w:lvlJc w:val="left"/>
      <w:pPr>
        <w:ind w:left="360" w:hanging="360"/>
      </w:pPr>
      <w:rPr>
        <w:rFonts w:hint="default"/>
      </w:rPr>
    </w:lvl>
    <w:lvl w:ilvl="1">
      <w:start w:val="2"/>
      <w:numFmt w:val="decimal"/>
      <w:lvlText w:val="%1.%2"/>
      <w:lvlJc w:val="left"/>
      <w:pPr>
        <w:ind w:left="720" w:hanging="360"/>
      </w:pPr>
      <w:rPr>
        <w:rFonts w:hint="default"/>
        <w:i w:val="0"/>
        <w:iCs w:val="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 w15:restartNumberingAfterBreak="0">
    <w:nsid w:val="119940CB"/>
    <w:multiLevelType w:val="multilevel"/>
    <w:tmpl w:val="F16A14BE"/>
    <w:lvl w:ilvl="0">
      <w:start w:val="7"/>
      <w:numFmt w:val="decimal"/>
      <w:lvlText w:val="%1"/>
      <w:lvlJc w:val="left"/>
      <w:pPr>
        <w:ind w:left="360" w:hanging="360"/>
      </w:pPr>
      <w:rPr>
        <w:rFonts w:asciiTheme="minorHAnsi" w:eastAsiaTheme="minorEastAsia" w:hAnsiTheme="minorHAnsi" w:hint="default"/>
        <w:i w:val="0"/>
      </w:rPr>
    </w:lvl>
    <w:lvl w:ilvl="1">
      <w:start w:val="1"/>
      <w:numFmt w:val="decimal"/>
      <w:lvlText w:val="%1.%2"/>
      <w:lvlJc w:val="left"/>
      <w:pPr>
        <w:ind w:left="360" w:hanging="360"/>
      </w:pPr>
      <w:rPr>
        <w:rFonts w:asciiTheme="minorHAnsi" w:eastAsiaTheme="minorEastAsia" w:hAnsiTheme="minorHAnsi" w:hint="default"/>
        <w:i w:val="0"/>
      </w:rPr>
    </w:lvl>
    <w:lvl w:ilvl="2">
      <w:start w:val="1"/>
      <w:numFmt w:val="decimal"/>
      <w:lvlText w:val="%1.%2.%3"/>
      <w:lvlJc w:val="left"/>
      <w:pPr>
        <w:ind w:left="720" w:hanging="720"/>
      </w:pPr>
      <w:rPr>
        <w:rFonts w:asciiTheme="minorHAnsi" w:eastAsiaTheme="minorEastAsia" w:hAnsiTheme="minorHAnsi" w:hint="default"/>
        <w:i w:val="0"/>
      </w:rPr>
    </w:lvl>
    <w:lvl w:ilvl="3">
      <w:start w:val="1"/>
      <w:numFmt w:val="decimal"/>
      <w:lvlText w:val="%1.%2.%3.%4"/>
      <w:lvlJc w:val="left"/>
      <w:pPr>
        <w:ind w:left="720" w:hanging="720"/>
      </w:pPr>
      <w:rPr>
        <w:rFonts w:asciiTheme="minorHAnsi" w:eastAsiaTheme="minorEastAsia" w:hAnsiTheme="minorHAnsi" w:hint="default"/>
        <w:i w:val="0"/>
      </w:rPr>
    </w:lvl>
    <w:lvl w:ilvl="4">
      <w:start w:val="1"/>
      <w:numFmt w:val="decimal"/>
      <w:lvlText w:val="%1.%2.%3.%4.%5"/>
      <w:lvlJc w:val="left"/>
      <w:pPr>
        <w:ind w:left="720" w:hanging="720"/>
      </w:pPr>
      <w:rPr>
        <w:rFonts w:asciiTheme="minorHAnsi" w:eastAsiaTheme="minorEastAsia" w:hAnsiTheme="minorHAnsi" w:hint="default"/>
        <w:i w:val="0"/>
      </w:rPr>
    </w:lvl>
    <w:lvl w:ilvl="5">
      <w:start w:val="1"/>
      <w:numFmt w:val="decimal"/>
      <w:lvlText w:val="%1.%2.%3.%4.%5.%6"/>
      <w:lvlJc w:val="left"/>
      <w:pPr>
        <w:ind w:left="1080" w:hanging="1080"/>
      </w:pPr>
      <w:rPr>
        <w:rFonts w:asciiTheme="minorHAnsi" w:eastAsiaTheme="minorEastAsia" w:hAnsiTheme="minorHAnsi" w:hint="default"/>
        <w:i w:val="0"/>
      </w:rPr>
    </w:lvl>
    <w:lvl w:ilvl="6">
      <w:start w:val="1"/>
      <w:numFmt w:val="decimal"/>
      <w:lvlText w:val="%1.%2.%3.%4.%5.%6.%7"/>
      <w:lvlJc w:val="left"/>
      <w:pPr>
        <w:ind w:left="1080" w:hanging="1080"/>
      </w:pPr>
      <w:rPr>
        <w:rFonts w:asciiTheme="minorHAnsi" w:eastAsiaTheme="minorEastAsia" w:hAnsiTheme="minorHAnsi" w:hint="default"/>
        <w:i w:val="0"/>
      </w:rPr>
    </w:lvl>
    <w:lvl w:ilvl="7">
      <w:start w:val="1"/>
      <w:numFmt w:val="decimal"/>
      <w:lvlText w:val="%1.%2.%3.%4.%5.%6.%7.%8"/>
      <w:lvlJc w:val="left"/>
      <w:pPr>
        <w:ind w:left="1440" w:hanging="1440"/>
      </w:pPr>
      <w:rPr>
        <w:rFonts w:asciiTheme="minorHAnsi" w:eastAsiaTheme="minorEastAsia" w:hAnsiTheme="minorHAnsi" w:hint="default"/>
        <w:i w:val="0"/>
      </w:rPr>
    </w:lvl>
    <w:lvl w:ilvl="8">
      <w:start w:val="1"/>
      <w:numFmt w:val="decimal"/>
      <w:lvlText w:val="%1.%2.%3.%4.%5.%6.%7.%8.%9"/>
      <w:lvlJc w:val="left"/>
      <w:pPr>
        <w:ind w:left="1440" w:hanging="1440"/>
      </w:pPr>
      <w:rPr>
        <w:rFonts w:asciiTheme="minorHAnsi" w:eastAsiaTheme="minorEastAsia" w:hAnsiTheme="minorHAnsi" w:hint="default"/>
        <w:i w:val="0"/>
      </w:rPr>
    </w:lvl>
  </w:abstractNum>
  <w:abstractNum w:abstractNumId="13" w15:restartNumberingAfterBreak="0">
    <w:nsid w:val="12753FC7"/>
    <w:multiLevelType w:val="hybridMultilevel"/>
    <w:tmpl w:val="E03CDD8C"/>
    <w:lvl w:ilvl="0" w:tplc="04130017">
      <w:start w:val="1"/>
      <w:numFmt w:val="lowerLetter"/>
      <w:lvlText w:val="%1)"/>
      <w:lvlJc w:val="left"/>
      <w:pPr>
        <w:ind w:left="36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18F8080A"/>
    <w:multiLevelType w:val="hybridMultilevel"/>
    <w:tmpl w:val="B8DE98B2"/>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15" w15:restartNumberingAfterBreak="0">
    <w:nsid w:val="191B5A6D"/>
    <w:multiLevelType w:val="multilevel"/>
    <w:tmpl w:val="84AAD5A4"/>
    <w:lvl w:ilvl="0">
      <w:start w:val="5"/>
      <w:numFmt w:val="decimal"/>
      <w:lvlText w:val="%1"/>
      <w:lvlJc w:val="left"/>
      <w:pPr>
        <w:ind w:left="360" w:hanging="360"/>
      </w:pPr>
      <w:rPr>
        <w:rFonts w:cs="Calibri" w:hint="default"/>
      </w:rPr>
    </w:lvl>
    <w:lvl w:ilvl="1">
      <w:start w:val="6"/>
      <w:numFmt w:val="decimal"/>
      <w:lvlText w:val="%1.%2"/>
      <w:lvlJc w:val="left"/>
      <w:pPr>
        <w:ind w:left="720" w:hanging="360"/>
      </w:pPr>
      <w:rPr>
        <w:rFonts w:cs="Calibri" w:hint="default"/>
      </w:rPr>
    </w:lvl>
    <w:lvl w:ilvl="2">
      <w:start w:val="1"/>
      <w:numFmt w:val="decimal"/>
      <w:lvlText w:val="%1.%2.%3"/>
      <w:lvlJc w:val="left"/>
      <w:pPr>
        <w:ind w:left="1440" w:hanging="720"/>
      </w:pPr>
      <w:rPr>
        <w:rFonts w:cs="Calibri" w:hint="default"/>
      </w:rPr>
    </w:lvl>
    <w:lvl w:ilvl="3">
      <w:start w:val="1"/>
      <w:numFmt w:val="decimal"/>
      <w:lvlText w:val="%1.%2.%3.%4"/>
      <w:lvlJc w:val="left"/>
      <w:pPr>
        <w:ind w:left="1800" w:hanging="720"/>
      </w:pPr>
      <w:rPr>
        <w:rFonts w:cs="Calibri" w:hint="default"/>
      </w:rPr>
    </w:lvl>
    <w:lvl w:ilvl="4">
      <w:start w:val="1"/>
      <w:numFmt w:val="decimal"/>
      <w:lvlText w:val="%1.%2.%3.%4.%5"/>
      <w:lvlJc w:val="left"/>
      <w:pPr>
        <w:ind w:left="2160" w:hanging="720"/>
      </w:pPr>
      <w:rPr>
        <w:rFonts w:cs="Calibri" w:hint="default"/>
      </w:rPr>
    </w:lvl>
    <w:lvl w:ilvl="5">
      <w:start w:val="1"/>
      <w:numFmt w:val="decimal"/>
      <w:lvlText w:val="%1.%2.%3.%4.%5.%6"/>
      <w:lvlJc w:val="left"/>
      <w:pPr>
        <w:ind w:left="2880" w:hanging="1080"/>
      </w:pPr>
      <w:rPr>
        <w:rFonts w:cs="Calibri" w:hint="default"/>
      </w:rPr>
    </w:lvl>
    <w:lvl w:ilvl="6">
      <w:start w:val="1"/>
      <w:numFmt w:val="decimal"/>
      <w:lvlText w:val="%1.%2.%3.%4.%5.%6.%7"/>
      <w:lvlJc w:val="left"/>
      <w:pPr>
        <w:ind w:left="3240" w:hanging="1080"/>
      </w:pPr>
      <w:rPr>
        <w:rFonts w:cs="Calibri" w:hint="default"/>
      </w:rPr>
    </w:lvl>
    <w:lvl w:ilvl="7">
      <w:start w:val="1"/>
      <w:numFmt w:val="decimal"/>
      <w:lvlText w:val="%1.%2.%3.%4.%5.%6.%7.%8"/>
      <w:lvlJc w:val="left"/>
      <w:pPr>
        <w:ind w:left="3960" w:hanging="1440"/>
      </w:pPr>
      <w:rPr>
        <w:rFonts w:cs="Calibri" w:hint="default"/>
      </w:rPr>
    </w:lvl>
    <w:lvl w:ilvl="8">
      <w:start w:val="1"/>
      <w:numFmt w:val="decimal"/>
      <w:lvlText w:val="%1.%2.%3.%4.%5.%6.%7.%8.%9"/>
      <w:lvlJc w:val="left"/>
      <w:pPr>
        <w:ind w:left="4320" w:hanging="1440"/>
      </w:pPr>
      <w:rPr>
        <w:rFonts w:cs="Calibri" w:hint="default"/>
      </w:rPr>
    </w:lvl>
  </w:abstractNum>
  <w:abstractNum w:abstractNumId="16" w15:restartNumberingAfterBreak="0">
    <w:nsid w:val="1CF104F1"/>
    <w:multiLevelType w:val="multilevel"/>
    <w:tmpl w:val="B1C2FD92"/>
    <w:lvl w:ilvl="0">
      <w:start w:val="6"/>
      <w:numFmt w:val="decimal"/>
      <w:lvlText w:val="%1"/>
      <w:lvlJc w:val="left"/>
      <w:pPr>
        <w:ind w:left="400" w:hanging="400"/>
      </w:pPr>
    </w:lvl>
    <w:lvl w:ilvl="1">
      <w:start w:val="3"/>
      <w:numFmt w:val="decimal"/>
      <w:lvlText w:val="%1.%2"/>
      <w:lvlJc w:val="left"/>
      <w:pPr>
        <w:ind w:left="940" w:hanging="400"/>
      </w:pPr>
    </w:lvl>
    <w:lvl w:ilvl="2">
      <w:start w:val="1"/>
      <w:numFmt w:val="decimal"/>
      <w:lvlText w:val="%1.%2.%3"/>
      <w:lvlJc w:val="left"/>
      <w:pPr>
        <w:ind w:left="1800" w:hanging="720"/>
      </w:pPr>
      <w:rPr>
        <w:i w:val="0"/>
        <w:iCs w:val="0"/>
      </w:rPr>
    </w:lvl>
    <w:lvl w:ilvl="3">
      <w:start w:val="1"/>
      <w:numFmt w:val="decimal"/>
      <w:lvlText w:val="%1.%2.%3.%4"/>
      <w:lvlJc w:val="left"/>
      <w:pPr>
        <w:ind w:left="2340" w:hanging="720"/>
      </w:pPr>
    </w:lvl>
    <w:lvl w:ilvl="4">
      <w:start w:val="1"/>
      <w:numFmt w:val="decimal"/>
      <w:lvlText w:val="%1.%2.%3.%4.%5"/>
      <w:lvlJc w:val="left"/>
      <w:pPr>
        <w:ind w:left="2880" w:hanging="720"/>
      </w:pPr>
    </w:lvl>
    <w:lvl w:ilvl="5">
      <w:start w:val="1"/>
      <w:numFmt w:val="decimal"/>
      <w:lvlText w:val="%1.%2.%3.%4.%5.%6"/>
      <w:lvlJc w:val="left"/>
      <w:pPr>
        <w:ind w:left="3780" w:hanging="1080"/>
      </w:pPr>
    </w:lvl>
    <w:lvl w:ilvl="6">
      <w:start w:val="1"/>
      <w:numFmt w:val="decimal"/>
      <w:lvlText w:val="%1.%2.%3.%4.%5.%6.%7"/>
      <w:lvlJc w:val="left"/>
      <w:pPr>
        <w:ind w:left="4320" w:hanging="1080"/>
      </w:pPr>
    </w:lvl>
    <w:lvl w:ilvl="7">
      <w:start w:val="1"/>
      <w:numFmt w:val="decimal"/>
      <w:lvlText w:val="%1.%2.%3.%4.%5.%6.%7.%8"/>
      <w:lvlJc w:val="left"/>
      <w:pPr>
        <w:ind w:left="5220" w:hanging="1440"/>
      </w:pPr>
    </w:lvl>
    <w:lvl w:ilvl="8">
      <w:start w:val="1"/>
      <w:numFmt w:val="decimal"/>
      <w:lvlText w:val="%1.%2.%3.%4.%5.%6.%7.%8.%9"/>
      <w:lvlJc w:val="left"/>
      <w:pPr>
        <w:ind w:left="5760" w:hanging="1440"/>
      </w:pPr>
    </w:lvl>
  </w:abstractNum>
  <w:abstractNum w:abstractNumId="17" w15:restartNumberingAfterBreak="0">
    <w:nsid w:val="1F412EFE"/>
    <w:multiLevelType w:val="hybridMultilevel"/>
    <w:tmpl w:val="1FC66B7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1F67581C"/>
    <w:multiLevelType w:val="hybridMultilevel"/>
    <w:tmpl w:val="455EB14C"/>
    <w:lvl w:ilvl="0" w:tplc="AE4C225E">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9" w15:restartNumberingAfterBreak="0">
    <w:nsid w:val="221407EE"/>
    <w:multiLevelType w:val="hybridMultilevel"/>
    <w:tmpl w:val="8DEC24B2"/>
    <w:lvl w:ilvl="0" w:tplc="9078BAFE">
      <w:start w:val="1"/>
      <w:numFmt w:val="lowerLetter"/>
      <w:lvlText w:val="%1."/>
      <w:lvlJc w:val="left"/>
      <w:pPr>
        <w:ind w:left="720" w:hanging="360"/>
      </w:pPr>
      <w:rPr>
        <w:rFonts w:ascii="Museo Sans 300" w:eastAsiaTheme="minorHAnsi" w:hAnsi="Museo Sans 300" w:cs="Calibri"/>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226C33A1"/>
    <w:multiLevelType w:val="hybridMultilevel"/>
    <w:tmpl w:val="AFA60A50"/>
    <w:lvl w:ilvl="0" w:tplc="0A4E924A">
      <w:start w:val="1"/>
      <w:numFmt w:val="decimal"/>
      <w:lvlText w:val="%1"/>
      <w:lvlJc w:val="left"/>
      <w:pPr>
        <w:ind w:left="1208" w:hanging="848"/>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35C3FFA"/>
    <w:multiLevelType w:val="multilevel"/>
    <w:tmpl w:val="444A592E"/>
    <w:lvl w:ilvl="0">
      <w:start w:val="6"/>
      <w:numFmt w:val="decimal"/>
      <w:lvlText w:val="%1"/>
      <w:lvlJc w:val="left"/>
      <w:pPr>
        <w:ind w:left="400" w:hanging="400"/>
      </w:pPr>
      <w:rPr>
        <w:rFonts w:hint="default"/>
        <w:i w:val="0"/>
      </w:rPr>
    </w:lvl>
    <w:lvl w:ilvl="1">
      <w:start w:val="4"/>
      <w:numFmt w:val="decimal"/>
      <w:lvlText w:val="%1.%2"/>
      <w:lvlJc w:val="left"/>
      <w:pPr>
        <w:ind w:left="940" w:hanging="400"/>
      </w:pPr>
      <w:rPr>
        <w:rFonts w:hint="default"/>
        <w:i w:val="0"/>
      </w:rPr>
    </w:lvl>
    <w:lvl w:ilvl="2">
      <w:start w:val="1"/>
      <w:numFmt w:val="decimal"/>
      <w:lvlText w:val="%1.%2.%3"/>
      <w:lvlJc w:val="left"/>
      <w:pPr>
        <w:ind w:left="1800" w:hanging="720"/>
      </w:pPr>
      <w:rPr>
        <w:rFonts w:hint="default"/>
        <w:i w:val="0"/>
      </w:rPr>
    </w:lvl>
    <w:lvl w:ilvl="3">
      <w:start w:val="1"/>
      <w:numFmt w:val="decimal"/>
      <w:lvlText w:val="%1.%2.%3.%4"/>
      <w:lvlJc w:val="left"/>
      <w:pPr>
        <w:ind w:left="2340" w:hanging="720"/>
      </w:pPr>
      <w:rPr>
        <w:rFonts w:hint="default"/>
        <w:i w:val="0"/>
      </w:rPr>
    </w:lvl>
    <w:lvl w:ilvl="4">
      <w:start w:val="1"/>
      <w:numFmt w:val="decimal"/>
      <w:lvlText w:val="%1.%2.%3.%4.%5"/>
      <w:lvlJc w:val="left"/>
      <w:pPr>
        <w:ind w:left="2880" w:hanging="720"/>
      </w:pPr>
      <w:rPr>
        <w:rFonts w:hint="default"/>
        <w:i w:val="0"/>
      </w:rPr>
    </w:lvl>
    <w:lvl w:ilvl="5">
      <w:start w:val="1"/>
      <w:numFmt w:val="decimal"/>
      <w:lvlText w:val="%1.%2.%3.%4.%5.%6"/>
      <w:lvlJc w:val="left"/>
      <w:pPr>
        <w:ind w:left="3780" w:hanging="1080"/>
      </w:pPr>
      <w:rPr>
        <w:rFonts w:hint="default"/>
        <w:i w:val="0"/>
      </w:rPr>
    </w:lvl>
    <w:lvl w:ilvl="6">
      <w:start w:val="1"/>
      <w:numFmt w:val="decimal"/>
      <w:lvlText w:val="%1.%2.%3.%4.%5.%6.%7"/>
      <w:lvlJc w:val="left"/>
      <w:pPr>
        <w:ind w:left="4320" w:hanging="1080"/>
      </w:pPr>
      <w:rPr>
        <w:rFonts w:hint="default"/>
        <w:i w:val="0"/>
      </w:rPr>
    </w:lvl>
    <w:lvl w:ilvl="7">
      <w:start w:val="1"/>
      <w:numFmt w:val="decimal"/>
      <w:lvlText w:val="%1.%2.%3.%4.%5.%6.%7.%8"/>
      <w:lvlJc w:val="left"/>
      <w:pPr>
        <w:ind w:left="5220" w:hanging="1440"/>
      </w:pPr>
      <w:rPr>
        <w:rFonts w:hint="default"/>
        <w:i w:val="0"/>
      </w:rPr>
    </w:lvl>
    <w:lvl w:ilvl="8">
      <w:start w:val="1"/>
      <w:numFmt w:val="decimal"/>
      <w:lvlText w:val="%1.%2.%3.%4.%5.%6.%7.%8.%9"/>
      <w:lvlJc w:val="left"/>
      <w:pPr>
        <w:ind w:left="5760" w:hanging="1440"/>
      </w:pPr>
      <w:rPr>
        <w:rFonts w:hint="default"/>
        <w:i w:val="0"/>
      </w:rPr>
    </w:lvl>
  </w:abstractNum>
  <w:abstractNum w:abstractNumId="22" w15:restartNumberingAfterBreak="0">
    <w:nsid w:val="2F5D4FBA"/>
    <w:multiLevelType w:val="hybridMultilevel"/>
    <w:tmpl w:val="AB124D0E"/>
    <w:lvl w:ilvl="0" w:tplc="FFFFFFF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33296843"/>
    <w:multiLevelType w:val="hybridMultilevel"/>
    <w:tmpl w:val="319A4894"/>
    <w:lvl w:ilvl="0" w:tplc="04130003">
      <w:start w:val="1"/>
      <w:numFmt w:val="bullet"/>
      <w:lvlText w:val="o"/>
      <w:lvlJc w:val="left"/>
      <w:pPr>
        <w:ind w:left="1440" w:hanging="360"/>
      </w:pPr>
      <w:rPr>
        <w:rFonts w:ascii="Courier New" w:hAnsi="Courier New" w:cs="Courier New"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24" w15:restartNumberingAfterBreak="0">
    <w:nsid w:val="356B0A96"/>
    <w:multiLevelType w:val="hybridMultilevel"/>
    <w:tmpl w:val="9E4EB634"/>
    <w:lvl w:ilvl="0" w:tplc="04130003">
      <w:start w:val="1"/>
      <w:numFmt w:val="bullet"/>
      <w:lvlText w:val="o"/>
      <w:lvlJc w:val="left"/>
      <w:pPr>
        <w:ind w:left="1440" w:hanging="360"/>
      </w:pPr>
      <w:rPr>
        <w:rFonts w:ascii="Courier New" w:hAnsi="Courier New" w:cs="Courier New"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25" w15:restartNumberingAfterBreak="0">
    <w:nsid w:val="35BF1941"/>
    <w:multiLevelType w:val="multilevel"/>
    <w:tmpl w:val="2DD6C602"/>
    <w:lvl w:ilvl="0">
      <w:start w:val="6"/>
      <w:numFmt w:val="decimal"/>
      <w:lvlText w:val="%1"/>
      <w:lvlJc w:val="left"/>
      <w:pPr>
        <w:ind w:left="400" w:hanging="400"/>
      </w:pPr>
      <w:rPr>
        <w:rFonts w:hint="default"/>
      </w:rPr>
    </w:lvl>
    <w:lvl w:ilvl="1">
      <w:start w:val="2"/>
      <w:numFmt w:val="decimal"/>
      <w:lvlText w:val="%1.%2"/>
      <w:lvlJc w:val="left"/>
      <w:pPr>
        <w:ind w:left="940" w:hanging="40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2880" w:hanging="72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320" w:hanging="108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5760" w:hanging="1440"/>
      </w:pPr>
      <w:rPr>
        <w:rFonts w:hint="default"/>
      </w:rPr>
    </w:lvl>
  </w:abstractNum>
  <w:abstractNum w:abstractNumId="26" w15:restartNumberingAfterBreak="0">
    <w:nsid w:val="363429DC"/>
    <w:multiLevelType w:val="hybridMultilevel"/>
    <w:tmpl w:val="725257C0"/>
    <w:lvl w:ilvl="0" w:tplc="095C873C">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3BA61694"/>
    <w:multiLevelType w:val="multilevel"/>
    <w:tmpl w:val="C3867E04"/>
    <w:lvl w:ilvl="0">
      <w:start w:val="5"/>
      <w:numFmt w:val="decimal"/>
      <w:lvlText w:val="%1"/>
      <w:lvlJc w:val="left"/>
      <w:pPr>
        <w:ind w:left="360" w:hanging="360"/>
      </w:pPr>
      <w:rPr>
        <w:rFonts w:cs="Calibri" w:hint="default"/>
      </w:rPr>
    </w:lvl>
    <w:lvl w:ilvl="1">
      <w:start w:val="3"/>
      <w:numFmt w:val="decimal"/>
      <w:lvlText w:val="%1.%2"/>
      <w:lvlJc w:val="left"/>
      <w:pPr>
        <w:ind w:left="720" w:hanging="360"/>
      </w:pPr>
      <w:rPr>
        <w:rFonts w:cs="Calibri" w:hint="default"/>
      </w:rPr>
    </w:lvl>
    <w:lvl w:ilvl="2">
      <w:start w:val="1"/>
      <w:numFmt w:val="decimal"/>
      <w:lvlText w:val="%1.%2.%3"/>
      <w:lvlJc w:val="left"/>
      <w:pPr>
        <w:ind w:left="1440" w:hanging="720"/>
      </w:pPr>
      <w:rPr>
        <w:rFonts w:cs="Calibri" w:hint="default"/>
      </w:rPr>
    </w:lvl>
    <w:lvl w:ilvl="3">
      <w:start w:val="1"/>
      <w:numFmt w:val="decimal"/>
      <w:lvlText w:val="%1.%2.%3.%4"/>
      <w:lvlJc w:val="left"/>
      <w:pPr>
        <w:ind w:left="1800" w:hanging="720"/>
      </w:pPr>
      <w:rPr>
        <w:rFonts w:cs="Calibri" w:hint="default"/>
      </w:rPr>
    </w:lvl>
    <w:lvl w:ilvl="4">
      <w:start w:val="1"/>
      <w:numFmt w:val="decimal"/>
      <w:lvlText w:val="%1.%2.%3.%4.%5"/>
      <w:lvlJc w:val="left"/>
      <w:pPr>
        <w:ind w:left="2160" w:hanging="720"/>
      </w:pPr>
      <w:rPr>
        <w:rFonts w:cs="Calibri" w:hint="default"/>
      </w:rPr>
    </w:lvl>
    <w:lvl w:ilvl="5">
      <w:start w:val="1"/>
      <w:numFmt w:val="decimal"/>
      <w:lvlText w:val="%1.%2.%3.%4.%5.%6"/>
      <w:lvlJc w:val="left"/>
      <w:pPr>
        <w:ind w:left="2880" w:hanging="1080"/>
      </w:pPr>
      <w:rPr>
        <w:rFonts w:cs="Calibri" w:hint="default"/>
      </w:rPr>
    </w:lvl>
    <w:lvl w:ilvl="6">
      <w:start w:val="1"/>
      <w:numFmt w:val="decimal"/>
      <w:lvlText w:val="%1.%2.%3.%4.%5.%6.%7"/>
      <w:lvlJc w:val="left"/>
      <w:pPr>
        <w:ind w:left="3240" w:hanging="1080"/>
      </w:pPr>
      <w:rPr>
        <w:rFonts w:cs="Calibri" w:hint="default"/>
      </w:rPr>
    </w:lvl>
    <w:lvl w:ilvl="7">
      <w:start w:val="1"/>
      <w:numFmt w:val="decimal"/>
      <w:lvlText w:val="%1.%2.%3.%4.%5.%6.%7.%8"/>
      <w:lvlJc w:val="left"/>
      <w:pPr>
        <w:ind w:left="3960" w:hanging="1440"/>
      </w:pPr>
      <w:rPr>
        <w:rFonts w:cs="Calibri" w:hint="default"/>
      </w:rPr>
    </w:lvl>
    <w:lvl w:ilvl="8">
      <w:start w:val="1"/>
      <w:numFmt w:val="decimal"/>
      <w:lvlText w:val="%1.%2.%3.%4.%5.%6.%7.%8.%9"/>
      <w:lvlJc w:val="left"/>
      <w:pPr>
        <w:ind w:left="4320" w:hanging="1440"/>
      </w:pPr>
      <w:rPr>
        <w:rFonts w:cs="Calibri" w:hint="default"/>
      </w:rPr>
    </w:lvl>
  </w:abstractNum>
  <w:abstractNum w:abstractNumId="28" w15:restartNumberingAfterBreak="0">
    <w:nsid w:val="41C73E8F"/>
    <w:multiLevelType w:val="hybridMultilevel"/>
    <w:tmpl w:val="682A917A"/>
    <w:lvl w:ilvl="0" w:tplc="08090001">
      <w:start w:val="1"/>
      <w:numFmt w:val="bullet"/>
      <w:lvlText w:val=""/>
      <w:lvlJc w:val="left"/>
      <w:pPr>
        <w:ind w:left="1944" w:hanging="360"/>
      </w:pPr>
      <w:rPr>
        <w:rFonts w:ascii="Symbol" w:hAnsi="Symbol" w:hint="default"/>
      </w:rPr>
    </w:lvl>
    <w:lvl w:ilvl="1" w:tplc="08090003" w:tentative="1">
      <w:start w:val="1"/>
      <w:numFmt w:val="bullet"/>
      <w:lvlText w:val="o"/>
      <w:lvlJc w:val="left"/>
      <w:pPr>
        <w:ind w:left="2664" w:hanging="360"/>
      </w:pPr>
      <w:rPr>
        <w:rFonts w:ascii="Courier New" w:hAnsi="Courier New" w:cs="Courier New" w:hint="default"/>
      </w:rPr>
    </w:lvl>
    <w:lvl w:ilvl="2" w:tplc="08090005" w:tentative="1">
      <w:start w:val="1"/>
      <w:numFmt w:val="bullet"/>
      <w:lvlText w:val=""/>
      <w:lvlJc w:val="left"/>
      <w:pPr>
        <w:ind w:left="3384" w:hanging="360"/>
      </w:pPr>
      <w:rPr>
        <w:rFonts w:ascii="Wingdings" w:hAnsi="Wingdings" w:hint="default"/>
      </w:rPr>
    </w:lvl>
    <w:lvl w:ilvl="3" w:tplc="08090001" w:tentative="1">
      <w:start w:val="1"/>
      <w:numFmt w:val="bullet"/>
      <w:lvlText w:val=""/>
      <w:lvlJc w:val="left"/>
      <w:pPr>
        <w:ind w:left="4104" w:hanging="360"/>
      </w:pPr>
      <w:rPr>
        <w:rFonts w:ascii="Symbol" w:hAnsi="Symbol" w:hint="default"/>
      </w:rPr>
    </w:lvl>
    <w:lvl w:ilvl="4" w:tplc="08090003" w:tentative="1">
      <w:start w:val="1"/>
      <w:numFmt w:val="bullet"/>
      <w:lvlText w:val="o"/>
      <w:lvlJc w:val="left"/>
      <w:pPr>
        <w:ind w:left="4824" w:hanging="360"/>
      </w:pPr>
      <w:rPr>
        <w:rFonts w:ascii="Courier New" w:hAnsi="Courier New" w:cs="Courier New" w:hint="default"/>
      </w:rPr>
    </w:lvl>
    <w:lvl w:ilvl="5" w:tplc="08090005" w:tentative="1">
      <w:start w:val="1"/>
      <w:numFmt w:val="bullet"/>
      <w:lvlText w:val=""/>
      <w:lvlJc w:val="left"/>
      <w:pPr>
        <w:ind w:left="5544" w:hanging="360"/>
      </w:pPr>
      <w:rPr>
        <w:rFonts w:ascii="Wingdings" w:hAnsi="Wingdings" w:hint="default"/>
      </w:rPr>
    </w:lvl>
    <w:lvl w:ilvl="6" w:tplc="08090001" w:tentative="1">
      <w:start w:val="1"/>
      <w:numFmt w:val="bullet"/>
      <w:lvlText w:val=""/>
      <w:lvlJc w:val="left"/>
      <w:pPr>
        <w:ind w:left="6264" w:hanging="360"/>
      </w:pPr>
      <w:rPr>
        <w:rFonts w:ascii="Symbol" w:hAnsi="Symbol" w:hint="default"/>
      </w:rPr>
    </w:lvl>
    <w:lvl w:ilvl="7" w:tplc="08090003" w:tentative="1">
      <w:start w:val="1"/>
      <w:numFmt w:val="bullet"/>
      <w:lvlText w:val="o"/>
      <w:lvlJc w:val="left"/>
      <w:pPr>
        <w:ind w:left="6984" w:hanging="360"/>
      </w:pPr>
      <w:rPr>
        <w:rFonts w:ascii="Courier New" w:hAnsi="Courier New" w:cs="Courier New" w:hint="default"/>
      </w:rPr>
    </w:lvl>
    <w:lvl w:ilvl="8" w:tplc="08090005" w:tentative="1">
      <w:start w:val="1"/>
      <w:numFmt w:val="bullet"/>
      <w:lvlText w:val=""/>
      <w:lvlJc w:val="left"/>
      <w:pPr>
        <w:ind w:left="7704" w:hanging="360"/>
      </w:pPr>
      <w:rPr>
        <w:rFonts w:ascii="Wingdings" w:hAnsi="Wingdings" w:hint="default"/>
      </w:rPr>
    </w:lvl>
  </w:abstractNum>
  <w:abstractNum w:abstractNumId="29" w15:restartNumberingAfterBreak="0">
    <w:nsid w:val="429F1F7B"/>
    <w:multiLevelType w:val="hybridMultilevel"/>
    <w:tmpl w:val="E03CDD8C"/>
    <w:lvl w:ilvl="0" w:tplc="FFFFFFFF">
      <w:start w:val="1"/>
      <w:numFmt w:val="lowerLetter"/>
      <w:lvlText w:val="%1)"/>
      <w:lvlJc w:val="left"/>
      <w:pPr>
        <w:ind w:left="36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42E806C6"/>
    <w:multiLevelType w:val="hybridMultilevel"/>
    <w:tmpl w:val="1F5A090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468A4D0E"/>
    <w:multiLevelType w:val="hybridMultilevel"/>
    <w:tmpl w:val="01A6BB20"/>
    <w:lvl w:ilvl="0" w:tplc="46D6D44C">
      <w:start w:val="1"/>
      <w:numFmt w:val="decimal"/>
      <w:lvlText w:val="%1."/>
      <w:lvlJc w:val="left"/>
      <w:pPr>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47A41E61"/>
    <w:multiLevelType w:val="hybridMultilevel"/>
    <w:tmpl w:val="C092435E"/>
    <w:lvl w:ilvl="0" w:tplc="8960CA3A">
      <w:start w:val="1"/>
      <w:numFmt w:val="decimal"/>
      <w:lvlText w:val="%1"/>
      <w:lvlJc w:val="left"/>
      <w:pPr>
        <w:ind w:left="1208" w:hanging="848"/>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48E6E5FE"/>
    <w:multiLevelType w:val="hybridMultilevel"/>
    <w:tmpl w:val="A426E508"/>
    <w:lvl w:ilvl="0" w:tplc="E57C5FA4">
      <w:start w:val="1"/>
      <w:numFmt w:val="decimal"/>
      <w:lvlText w:val="%1."/>
      <w:lvlJc w:val="left"/>
      <w:pPr>
        <w:ind w:left="720" w:hanging="360"/>
      </w:pPr>
    </w:lvl>
    <w:lvl w:ilvl="1" w:tplc="9C04DD98">
      <w:numFmt w:val="none"/>
      <w:lvlText w:val=""/>
      <w:lvlJc w:val="left"/>
      <w:pPr>
        <w:tabs>
          <w:tab w:val="num" w:pos="360"/>
        </w:tabs>
      </w:pPr>
    </w:lvl>
    <w:lvl w:ilvl="2" w:tplc="B3A2BE86">
      <w:start w:val="1"/>
      <w:numFmt w:val="lowerRoman"/>
      <w:lvlText w:val="%3."/>
      <w:lvlJc w:val="right"/>
      <w:pPr>
        <w:ind w:left="2160" w:hanging="180"/>
      </w:pPr>
    </w:lvl>
    <w:lvl w:ilvl="3" w:tplc="BDA4C924">
      <w:start w:val="1"/>
      <w:numFmt w:val="decimal"/>
      <w:lvlText w:val="%4."/>
      <w:lvlJc w:val="left"/>
      <w:pPr>
        <w:ind w:left="2880" w:hanging="360"/>
      </w:pPr>
    </w:lvl>
    <w:lvl w:ilvl="4" w:tplc="EEBC5F12">
      <w:start w:val="1"/>
      <w:numFmt w:val="lowerLetter"/>
      <w:lvlText w:val="%5."/>
      <w:lvlJc w:val="left"/>
      <w:pPr>
        <w:ind w:left="3600" w:hanging="360"/>
      </w:pPr>
    </w:lvl>
    <w:lvl w:ilvl="5" w:tplc="AAF60D94">
      <w:start w:val="1"/>
      <w:numFmt w:val="lowerRoman"/>
      <w:lvlText w:val="%6."/>
      <w:lvlJc w:val="right"/>
      <w:pPr>
        <w:ind w:left="4320" w:hanging="180"/>
      </w:pPr>
    </w:lvl>
    <w:lvl w:ilvl="6" w:tplc="6290C9CC">
      <w:start w:val="1"/>
      <w:numFmt w:val="decimal"/>
      <w:lvlText w:val="%7."/>
      <w:lvlJc w:val="left"/>
      <w:pPr>
        <w:ind w:left="5040" w:hanging="360"/>
      </w:pPr>
    </w:lvl>
    <w:lvl w:ilvl="7" w:tplc="2B6AD490">
      <w:start w:val="1"/>
      <w:numFmt w:val="lowerLetter"/>
      <w:lvlText w:val="%8."/>
      <w:lvlJc w:val="left"/>
      <w:pPr>
        <w:ind w:left="5760" w:hanging="360"/>
      </w:pPr>
    </w:lvl>
    <w:lvl w:ilvl="8" w:tplc="2766F2D4">
      <w:start w:val="1"/>
      <w:numFmt w:val="lowerRoman"/>
      <w:lvlText w:val="%9."/>
      <w:lvlJc w:val="right"/>
      <w:pPr>
        <w:ind w:left="6480" w:hanging="180"/>
      </w:pPr>
    </w:lvl>
  </w:abstractNum>
  <w:abstractNum w:abstractNumId="34" w15:restartNumberingAfterBreak="0">
    <w:nsid w:val="4D707EA8"/>
    <w:multiLevelType w:val="hybridMultilevel"/>
    <w:tmpl w:val="C3E8198A"/>
    <w:lvl w:ilvl="0" w:tplc="3AB6CB16">
      <w:start w:val="1"/>
      <w:numFmt w:val="lowerLetter"/>
      <w:lvlText w:val="(%1)"/>
      <w:lvlJc w:val="left"/>
      <w:pPr>
        <w:ind w:left="1068" w:hanging="360"/>
      </w:pPr>
      <w:rPr>
        <w:rFonts w:hint="default"/>
      </w:rPr>
    </w:lvl>
    <w:lvl w:ilvl="1" w:tplc="08090019" w:tentative="1">
      <w:start w:val="1"/>
      <w:numFmt w:val="lowerLetter"/>
      <w:lvlText w:val="%2."/>
      <w:lvlJc w:val="left"/>
      <w:pPr>
        <w:ind w:left="1788" w:hanging="360"/>
      </w:pPr>
    </w:lvl>
    <w:lvl w:ilvl="2" w:tplc="0809001B" w:tentative="1">
      <w:start w:val="1"/>
      <w:numFmt w:val="lowerRoman"/>
      <w:lvlText w:val="%3."/>
      <w:lvlJc w:val="right"/>
      <w:pPr>
        <w:ind w:left="2508" w:hanging="180"/>
      </w:pPr>
    </w:lvl>
    <w:lvl w:ilvl="3" w:tplc="0809000F" w:tentative="1">
      <w:start w:val="1"/>
      <w:numFmt w:val="decimal"/>
      <w:lvlText w:val="%4."/>
      <w:lvlJc w:val="left"/>
      <w:pPr>
        <w:ind w:left="3228" w:hanging="360"/>
      </w:pPr>
    </w:lvl>
    <w:lvl w:ilvl="4" w:tplc="08090019" w:tentative="1">
      <w:start w:val="1"/>
      <w:numFmt w:val="lowerLetter"/>
      <w:lvlText w:val="%5."/>
      <w:lvlJc w:val="left"/>
      <w:pPr>
        <w:ind w:left="3948" w:hanging="360"/>
      </w:pPr>
    </w:lvl>
    <w:lvl w:ilvl="5" w:tplc="0809001B" w:tentative="1">
      <w:start w:val="1"/>
      <w:numFmt w:val="lowerRoman"/>
      <w:lvlText w:val="%6."/>
      <w:lvlJc w:val="right"/>
      <w:pPr>
        <w:ind w:left="4668" w:hanging="180"/>
      </w:pPr>
    </w:lvl>
    <w:lvl w:ilvl="6" w:tplc="0809000F" w:tentative="1">
      <w:start w:val="1"/>
      <w:numFmt w:val="decimal"/>
      <w:lvlText w:val="%7."/>
      <w:lvlJc w:val="left"/>
      <w:pPr>
        <w:ind w:left="5388" w:hanging="360"/>
      </w:pPr>
    </w:lvl>
    <w:lvl w:ilvl="7" w:tplc="08090019" w:tentative="1">
      <w:start w:val="1"/>
      <w:numFmt w:val="lowerLetter"/>
      <w:lvlText w:val="%8."/>
      <w:lvlJc w:val="left"/>
      <w:pPr>
        <w:ind w:left="6108" w:hanging="360"/>
      </w:pPr>
    </w:lvl>
    <w:lvl w:ilvl="8" w:tplc="0809001B" w:tentative="1">
      <w:start w:val="1"/>
      <w:numFmt w:val="lowerRoman"/>
      <w:lvlText w:val="%9."/>
      <w:lvlJc w:val="right"/>
      <w:pPr>
        <w:ind w:left="6828" w:hanging="180"/>
      </w:pPr>
    </w:lvl>
  </w:abstractNum>
  <w:abstractNum w:abstractNumId="35" w15:restartNumberingAfterBreak="0">
    <w:nsid w:val="54450FC7"/>
    <w:multiLevelType w:val="multilevel"/>
    <w:tmpl w:val="F18AFD48"/>
    <w:lvl w:ilvl="0">
      <w:start w:val="5"/>
      <w:numFmt w:val="decimal"/>
      <w:lvlText w:val="%1"/>
      <w:lvlJc w:val="left"/>
      <w:pPr>
        <w:ind w:left="360" w:hanging="360"/>
      </w:pPr>
      <w:rPr>
        <w:rFonts w:cs="Calibri" w:hint="default"/>
      </w:rPr>
    </w:lvl>
    <w:lvl w:ilvl="1">
      <w:start w:val="4"/>
      <w:numFmt w:val="decimal"/>
      <w:lvlText w:val="%1.%2"/>
      <w:lvlJc w:val="left"/>
      <w:pPr>
        <w:ind w:left="720" w:hanging="360"/>
      </w:pPr>
      <w:rPr>
        <w:rFonts w:cs="Calibri" w:hint="default"/>
      </w:rPr>
    </w:lvl>
    <w:lvl w:ilvl="2">
      <w:start w:val="1"/>
      <w:numFmt w:val="decimal"/>
      <w:lvlText w:val="%1.%2.%3"/>
      <w:lvlJc w:val="left"/>
      <w:pPr>
        <w:ind w:left="1440" w:hanging="720"/>
      </w:pPr>
      <w:rPr>
        <w:rFonts w:cs="Calibri" w:hint="default"/>
      </w:rPr>
    </w:lvl>
    <w:lvl w:ilvl="3">
      <w:start w:val="1"/>
      <w:numFmt w:val="decimal"/>
      <w:lvlText w:val="%1.%2.%3.%4"/>
      <w:lvlJc w:val="left"/>
      <w:pPr>
        <w:ind w:left="1800" w:hanging="720"/>
      </w:pPr>
      <w:rPr>
        <w:rFonts w:cs="Calibri" w:hint="default"/>
      </w:rPr>
    </w:lvl>
    <w:lvl w:ilvl="4">
      <w:start w:val="1"/>
      <w:numFmt w:val="decimal"/>
      <w:lvlText w:val="%1.%2.%3.%4.%5"/>
      <w:lvlJc w:val="left"/>
      <w:pPr>
        <w:ind w:left="2160" w:hanging="720"/>
      </w:pPr>
      <w:rPr>
        <w:rFonts w:cs="Calibri" w:hint="default"/>
      </w:rPr>
    </w:lvl>
    <w:lvl w:ilvl="5">
      <w:start w:val="1"/>
      <w:numFmt w:val="decimal"/>
      <w:lvlText w:val="%1.%2.%3.%4.%5.%6"/>
      <w:lvlJc w:val="left"/>
      <w:pPr>
        <w:ind w:left="2880" w:hanging="1080"/>
      </w:pPr>
      <w:rPr>
        <w:rFonts w:cs="Calibri" w:hint="default"/>
      </w:rPr>
    </w:lvl>
    <w:lvl w:ilvl="6">
      <w:start w:val="1"/>
      <w:numFmt w:val="decimal"/>
      <w:lvlText w:val="%1.%2.%3.%4.%5.%6.%7"/>
      <w:lvlJc w:val="left"/>
      <w:pPr>
        <w:ind w:left="3240" w:hanging="1080"/>
      </w:pPr>
      <w:rPr>
        <w:rFonts w:cs="Calibri" w:hint="default"/>
      </w:rPr>
    </w:lvl>
    <w:lvl w:ilvl="7">
      <w:start w:val="1"/>
      <w:numFmt w:val="decimal"/>
      <w:lvlText w:val="%1.%2.%3.%4.%5.%6.%7.%8"/>
      <w:lvlJc w:val="left"/>
      <w:pPr>
        <w:ind w:left="3960" w:hanging="1440"/>
      </w:pPr>
      <w:rPr>
        <w:rFonts w:cs="Calibri" w:hint="default"/>
      </w:rPr>
    </w:lvl>
    <w:lvl w:ilvl="8">
      <w:start w:val="1"/>
      <w:numFmt w:val="decimal"/>
      <w:lvlText w:val="%1.%2.%3.%4.%5.%6.%7.%8.%9"/>
      <w:lvlJc w:val="left"/>
      <w:pPr>
        <w:ind w:left="4320" w:hanging="1440"/>
      </w:pPr>
      <w:rPr>
        <w:rFonts w:cs="Calibri" w:hint="default"/>
      </w:rPr>
    </w:lvl>
  </w:abstractNum>
  <w:abstractNum w:abstractNumId="36" w15:restartNumberingAfterBreak="0">
    <w:nsid w:val="59223608"/>
    <w:multiLevelType w:val="hybridMultilevel"/>
    <w:tmpl w:val="B2620946"/>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5EBA5F47"/>
    <w:multiLevelType w:val="hybridMultilevel"/>
    <w:tmpl w:val="AFD40EC6"/>
    <w:lvl w:ilvl="0" w:tplc="0413000F">
      <w:start w:val="1"/>
      <w:numFmt w:val="decimal"/>
      <w:lvlText w:val="%1."/>
      <w:lvlJc w:val="left"/>
      <w:pPr>
        <w:ind w:left="36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8" w15:restartNumberingAfterBreak="0">
    <w:nsid w:val="65471599"/>
    <w:multiLevelType w:val="multilevel"/>
    <w:tmpl w:val="A6161D32"/>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660F0D96"/>
    <w:multiLevelType w:val="multilevel"/>
    <w:tmpl w:val="CF4AE08E"/>
    <w:lvl w:ilvl="0">
      <w:start w:val="4"/>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0" w15:restartNumberingAfterBreak="0">
    <w:nsid w:val="67905674"/>
    <w:multiLevelType w:val="hybridMultilevel"/>
    <w:tmpl w:val="C45A6CE2"/>
    <w:lvl w:ilvl="0" w:tplc="04130003">
      <w:start w:val="1"/>
      <w:numFmt w:val="bullet"/>
      <w:lvlText w:val="o"/>
      <w:lvlJc w:val="left"/>
      <w:pPr>
        <w:ind w:left="1440" w:hanging="360"/>
      </w:pPr>
      <w:rPr>
        <w:rFonts w:ascii="Courier New" w:hAnsi="Courier New" w:cs="Courier New"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41" w15:restartNumberingAfterBreak="0">
    <w:nsid w:val="73DC194A"/>
    <w:multiLevelType w:val="multilevel"/>
    <w:tmpl w:val="84D0B9F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val="0"/>
        <w:bCs w:val="0"/>
      </w:rPr>
    </w:lvl>
    <w:lvl w:ilvl="2">
      <w:start w:val="1"/>
      <w:numFmt w:val="decimal"/>
      <w:lvlText w:val="%1.%2.%3."/>
      <w:lvlJc w:val="left"/>
      <w:pPr>
        <w:ind w:left="360" w:hanging="360"/>
      </w:pPr>
      <w:rPr>
        <w:rFonts w:hint="default"/>
      </w:rPr>
    </w:lvl>
    <w:lvl w:ilvl="3">
      <w:start w:val="1"/>
      <w:numFmt w:val="decimal"/>
      <w:lvlText w:val="%1.%2.%3.%4."/>
      <w:lvlJc w:val="left"/>
      <w:pPr>
        <w:ind w:left="360" w:hanging="360"/>
      </w:pPr>
      <w:rPr>
        <w:rFonts w:hint="default"/>
      </w:rPr>
    </w:lvl>
    <w:lvl w:ilvl="4">
      <w:start w:val="1"/>
      <w:numFmt w:val="decimal"/>
      <w:lvlText w:val="%1.%2.%3.%4.%5."/>
      <w:lvlJc w:val="left"/>
      <w:pPr>
        <w:ind w:left="360" w:hanging="360"/>
      </w:pPr>
      <w:rPr>
        <w:rFonts w:hint="default"/>
      </w:rPr>
    </w:lvl>
    <w:lvl w:ilvl="5">
      <w:start w:val="1"/>
      <w:numFmt w:val="decimal"/>
      <w:lvlText w:val="%1.%2.%3.%4.%5.%6."/>
      <w:lvlJc w:val="left"/>
      <w:pPr>
        <w:ind w:left="360" w:hanging="360"/>
      </w:pPr>
      <w:rPr>
        <w:rFonts w:hint="default"/>
      </w:rPr>
    </w:lvl>
    <w:lvl w:ilvl="6">
      <w:start w:val="1"/>
      <w:numFmt w:val="decimal"/>
      <w:lvlText w:val="%1.%2.%3.%4.%5.%6.%7."/>
      <w:lvlJc w:val="left"/>
      <w:pPr>
        <w:ind w:left="360" w:hanging="360"/>
      </w:pPr>
      <w:rPr>
        <w:rFonts w:hint="default"/>
      </w:rPr>
    </w:lvl>
    <w:lvl w:ilvl="7">
      <w:start w:val="1"/>
      <w:numFmt w:val="decimal"/>
      <w:lvlText w:val="%1.%2.%3.%4.%5.%6.%7.%8."/>
      <w:lvlJc w:val="left"/>
      <w:pPr>
        <w:ind w:left="360" w:hanging="360"/>
      </w:pPr>
      <w:rPr>
        <w:rFonts w:hint="default"/>
      </w:rPr>
    </w:lvl>
    <w:lvl w:ilvl="8">
      <w:start w:val="1"/>
      <w:numFmt w:val="decimal"/>
      <w:lvlText w:val="%1.%2.%3.%4.%5.%6.%7.%8.%9."/>
      <w:lvlJc w:val="left"/>
      <w:pPr>
        <w:ind w:left="360" w:hanging="360"/>
      </w:pPr>
      <w:rPr>
        <w:rFonts w:hint="default"/>
      </w:rPr>
    </w:lvl>
  </w:abstractNum>
  <w:abstractNum w:abstractNumId="42" w15:restartNumberingAfterBreak="0">
    <w:nsid w:val="75AD3095"/>
    <w:multiLevelType w:val="hybridMultilevel"/>
    <w:tmpl w:val="3AA05662"/>
    <w:lvl w:ilvl="0" w:tplc="DAD496A2">
      <w:start w:val="6"/>
      <w:numFmt w:val="bullet"/>
      <w:lvlText w:val="-"/>
      <w:lvlJc w:val="left"/>
      <w:pPr>
        <w:ind w:left="1584" w:hanging="360"/>
      </w:pPr>
      <w:rPr>
        <w:rFonts w:ascii="Museo Sans 300" w:eastAsiaTheme="minorHAnsi" w:hAnsi="Museo Sans 300" w:cs="Calibri" w:hint="default"/>
      </w:rPr>
    </w:lvl>
    <w:lvl w:ilvl="1" w:tplc="04130003" w:tentative="1">
      <w:start w:val="1"/>
      <w:numFmt w:val="bullet"/>
      <w:lvlText w:val="o"/>
      <w:lvlJc w:val="left"/>
      <w:pPr>
        <w:ind w:left="2304" w:hanging="360"/>
      </w:pPr>
      <w:rPr>
        <w:rFonts w:ascii="Courier New" w:hAnsi="Courier New" w:cs="Courier New" w:hint="default"/>
      </w:rPr>
    </w:lvl>
    <w:lvl w:ilvl="2" w:tplc="04130005" w:tentative="1">
      <w:start w:val="1"/>
      <w:numFmt w:val="bullet"/>
      <w:lvlText w:val=""/>
      <w:lvlJc w:val="left"/>
      <w:pPr>
        <w:ind w:left="3024" w:hanging="360"/>
      </w:pPr>
      <w:rPr>
        <w:rFonts w:ascii="Wingdings" w:hAnsi="Wingdings" w:hint="default"/>
      </w:rPr>
    </w:lvl>
    <w:lvl w:ilvl="3" w:tplc="04130001" w:tentative="1">
      <w:start w:val="1"/>
      <w:numFmt w:val="bullet"/>
      <w:lvlText w:val=""/>
      <w:lvlJc w:val="left"/>
      <w:pPr>
        <w:ind w:left="3744" w:hanging="360"/>
      </w:pPr>
      <w:rPr>
        <w:rFonts w:ascii="Symbol" w:hAnsi="Symbol" w:hint="default"/>
      </w:rPr>
    </w:lvl>
    <w:lvl w:ilvl="4" w:tplc="04130003" w:tentative="1">
      <w:start w:val="1"/>
      <w:numFmt w:val="bullet"/>
      <w:lvlText w:val="o"/>
      <w:lvlJc w:val="left"/>
      <w:pPr>
        <w:ind w:left="4464" w:hanging="360"/>
      </w:pPr>
      <w:rPr>
        <w:rFonts w:ascii="Courier New" w:hAnsi="Courier New" w:cs="Courier New" w:hint="default"/>
      </w:rPr>
    </w:lvl>
    <w:lvl w:ilvl="5" w:tplc="04130005" w:tentative="1">
      <w:start w:val="1"/>
      <w:numFmt w:val="bullet"/>
      <w:lvlText w:val=""/>
      <w:lvlJc w:val="left"/>
      <w:pPr>
        <w:ind w:left="5184" w:hanging="360"/>
      </w:pPr>
      <w:rPr>
        <w:rFonts w:ascii="Wingdings" w:hAnsi="Wingdings" w:hint="default"/>
      </w:rPr>
    </w:lvl>
    <w:lvl w:ilvl="6" w:tplc="04130001" w:tentative="1">
      <w:start w:val="1"/>
      <w:numFmt w:val="bullet"/>
      <w:lvlText w:val=""/>
      <w:lvlJc w:val="left"/>
      <w:pPr>
        <w:ind w:left="5904" w:hanging="360"/>
      </w:pPr>
      <w:rPr>
        <w:rFonts w:ascii="Symbol" w:hAnsi="Symbol" w:hint="default"/>
      </w:rPr>
    </w:lvl>
    <w:lvl w:ilvl="7" w:tplc="04130003" w:tentative="1">
      <w:start w:val="1"/>
      <w:numFmt w:val="bullet"/>
      <w:lvlText w:val="o"/>
      <w:lvlJc w:val="left"/>
      <w:pPr>
        <w:ind w:left="6624" w:hanging="360"/>
      </w:pPr>
      <w:rPr>
        <w:rFonts w:ascii="Courier New" w:hAnsi="Courier New" w:cs="Courier New" w:hint="default"/>
      </w:rPr>
    </w:lvl>
    <w:lvl w:ilvl="8" w:tplc="04130005" w:tentative="1">
      <w:start w:val="1"/>
      <w:numFmt w:val="bullet"/>
      <w:lvlText w:val=""/>
      <w:lvlJc w:val="left"/>
      <w:pPr>
        <w:ind w:left="7344" w:hanging="360"/>
      </w:pPr>
      <w:rPr>
        <w:rFonts w:ascii="Wingdings" w:hAnsi="Wingdings" w:hint="default"/>
      </w:rPr>
    </w:lvl>
  </w:abstractNum>
  <w:abstractNum w:abstractNumId="43" w15:restartNumberingAfterBreak="0">
    <w:nsid w:val="779A1955"/>
    <w:multiLevelType w:val="multilevel"/>
    <w:tmpl w:val="6B2E538C"/>
    <w:lvl w:ilvl="0">
      <w:start w:val="1"/>
      <w:numFmt w:val="decimal"/>
      <w:lvlText w:val="%1."/>
      <w:lvlJc w:val="left"/>
      <w:pPr>
        <w:ind w:left="360" w:hanging="360"/>
      </w:pPr>
      <w:rPr>
        <w:rFonts w:hint="default"/>
      </w:rPr>
    </w:lvl>
    <w:lvl w:ilvl="1">
      <w:start w:val="1"/>
      <w:numFmt w:val="decimal"/>
      <w:lvlText w:val="%1.%2."/>
      <w:lvlJc w:val="left"/>
      <w:pPr>
        <w:ind w:left="432" w:hanging="432"/>
      </w:pPr>
      <w:rPr>
        <w:i w:val="0"/>
        <w:i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4" w15:restartNumberingAfterBreak="0">
    <w:nsid w:val="78CA2C2E"/>
    <w:multiLevelType w:val="hybridMultilevel"/>
    <w:tmpl w:val="F1BEC5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A5428FC"/>
    <w:multiLevelType w:val="multilevel"/>
    <w:tmpl w:val="053E7B4A"/>
    <w:lvl w:ilvl="0">
      <w:start w:val="2"/>
      <w:numFmt w:val="decimal"/>
      <w:lvlText w:val="%1"/>
      <w:lvlJc w:val="left"/>
      <w:pPr>
        <w:ind w:left="360" w:hanging="360"/>
      </w:pPr>
      <w:rPr>
        <w:rFonts w:hint="default"/>
      </w:rPr>
    </w:lvl>
    <w:lvl w:ilvl="1">
      <w:start w:val="4"/>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6" w15:restartNumberingAfterBreak="0">
    <w:nsid w:val="7A5E4BC4"/>
    <w:multiLevelType w:val="multilevel"/>
    <w:tmpl w:val="E28E200E"/>
    <w:lvl w:ilvl="0">
      <w:start w:val="6"/>
      <w:numFmt w:val="decimal"/>
      <w:lvlText w:val="%1"/>
      <w:lvlJc w:val="left"/>
      <w:pPr>
        <w:ind w:left="400" w:hanging="400"/>
      </w:pPr>
      <w:rPr>
        <w:rFonts w:hint="default"/>
        <w:i w:val="0"/>
      </w:rPr>
    </w:lvl>
    <w:lvl w:ilvl="1">
      <w:start w:val="4"/>
      <w:numFmt w:val="decimal"/>
      <w:lvlText w:val="%1.%2"/>
      <w:lvlJc w:val="left"/>
      <w:pPr>
        <w:ind w:left="754" w:hanging="400"/>
      </w:pPr>
      <w:rPr>
        <w:rFonts w:hint="default"/>
        <w:i w:val="0"/>
      </w:rPr>
    </w:lvl>
    <w:lvl w:ilvl="2">
      <w:start w:val="1"/>
      <w:numFmt w:val="decimal"/>
      <w:lvlText w:val="%1.%2.%3"/>
      <w:lvlJc w:val="left"/>
      <w:pPr>
        <w:ind w:left="1428" w:hanging="720"/>
      </w:pPr>
      <w:rPr>
        <w:rFonts w:hint="default"/>
        <w:i w:val="0"/>
      </w:rPr>
    </w:lvl>
    <w:lvl w:ilvl="3">
      <w:start w:val="1"/>
      <w:numFmt w:val="decimal"/>
      <w:lvlText w:val="%1.%2.%3.%4"/>
      <w:lvlJc w:val="left"/>
      <w:pPr>
        <w:ind w:left="1782" w:hanging="720"/>
      </w:pPr>
      <w:rPr>
        <w:rFonts w:hint="default"/>
        <w:i w:val="0"/>
      </w:rPr>
    </w:lvl>
    <w:lvl w:ilvl="4">
      <w:start w:val="1"/>
      <w:numFmt w:val="decimal"/>
      <w:lvlText w:val="%1.%2.%3.%4.%5"/>
      <w:lvlJc w:val="left"/>
      <w:pPr>
        <w:ind w:left="2136" w:hanging="720"/>
      </w:pPr>
      <w:rPr>
        <w:rFonts w:hint="default"/>
        <w:i w:val="0"/>
      </w:rPr>
    </w:lvl>
    <w:lvl w:ilvl="5">
      <w:start w:val="1"/>
      <w:numFmt w:val="decimal"/>
      <w:lvlText w:val="%1.%2.%3.%4.%5.%6"/>
      <w:lvlJc w:val="left"/>
      <w:pPr>
        <w:ind w:left="2850" w:hanging="1080"/>
      </w:pPr>
      <w:rPr>
        <w:rFonts w:hint="default"/>
        <w:i w:val="0"/>
      </w:rPr>
    </w:lvl>
    <w:lvl w:ilvl="6">
      <w:start w:val="1"/>
      <w:numFmt w:val="decimal"/>
      <w:lvlText w:val="%1.%2.%3.%4.%5.%6.%7"/>
      <w:lvlJc w:val="left"/>
      <w:pPr>
        <w:ind w:left="3204" w:hanging="1080"/>
      </w:pPr>
      <w:rPr>
        <w:rFonts w:hint="default"/>
        <w:i w:val="0"/>
      </w:rPr>
    </w:lvl>
    <w:lvl w:ilvl="7">
      <w:start w:val="1"/>
      <w:numFmt w:val="decimal"/>
      <w:lvlText w:val="%1.%2.%3.%4.%5.%6.%7.%8"/>
      <w:lvlJc w:val="left"/>
      <w:pPr>
        <w:ind w:left="3918" w:hanging="1440"/>
      </w:pPr>
      <w:rPr>
        <w:rFonts w:hint="default"/>
        <w:i w:val="0"/>
      </w:rPr>
    </w:lvl>
    <w:lvl w:ilvl="8">
      <w:start w:val="1"/>
      <w:numFmt w:val="decimal"/>
      <w:lvlText w:val="%1.%2.%3.%4.%5.%6.%7.%8.%9"/>
      <w:lvlJc w:val="left"/>
      <w:pPr>
        <w:ind w:left="4272" w:hanging="1440"/>
      </w:pPr>
      <w:rPr>
        <w:rFonts w:hint="default"/>
        <w:i w:val="0"/>
      </w:rPr>
    </w:lvl>
  </w:abstractNum>
  <w:abstractNum w:abstractNumId="47" w15:restartNumberingAfterBreak="0">
    <w:nsid w:val="7C756931"/>
    <w:multiLevelType w:val="hybridMultilevel"/>
    <w:tmpl w:val="8D6C10B0"/>
    <w:lvl w:ilvl="0" w:tplc="803E6C26">
      <w:start w:val="9"/>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8" w15:restartNumberingAfterBreak="0">
    <w:nsid w:val="7F343FFF"/>
    <w:multiLevelType w:val="multilevel"/>
    <w:tmpl w:val="9650F810"/>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803087070">
    <w:abstractNumId w:val="6"/>
  </w:num>
  <w:num w:numId="2" w16cid:durableId="1414938729">
    <w:abstractNumId w:val="4"/>
  </w:num>
  <w:num w:numId="3" w16cid:durableId="1002007778">
    <w:abstractNumId w:val="3"/>
  </w:num>
  <w:num w:numId="4" w16cid:durableId="1048333340">
    <w:abstractNumId w:val="2"/>
  </w:num>
  <w:num w:numId="5" w16cid:durableId="1927690958">
    <w:abstractNumId w:val="1"/>
  </w:num>
  <w:num w:numId="6" w16cid:durableId="1400442728">
    <w:abstractNumId w:val="5"/>
  </w:num>
  <w:num w:numId="7" w16cid:durableId="1964388327">
    <w:abstractNumId w:val="0"/>
  </w:num>
  <w:num w:numId="8" w16cid:durableId="119348200">
    <w:abstractNumId w:val="32"/>
  </w:num>
  <w:num w:numId="9" w16cid:durableId="1908564130">
    <w:abstractNumId w:val="20"/>
  </w:num>
  <w:num w:numId="10" w16cid:durableId="1740325211">
    <w:abstractNumId w:val="7"/>
  </w:num>
  <w:num w:numId="11" w16cid:durableId="905604236">
    <w:abstractNumId w:val="33"/>
  </w:num>
  <w:num w:numId="12" w16cid:durableId="207319487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763602207">
    <w:abstractNumId w:val="37"/>
  </w:num>
  <w:num w:numId="14" w16cid:durableId="345984131">
    <w:abstractNumId w:val="30"/>
  </w:num>
  <w:num w:numId="15" w16cid:durableId="2066756202">
    <w:abstractNumId w:val="9"/>
  </w:num>
  <w:num w:numId="16" w16cid:durableId="62876866">
    <w:abstractNumId w:val="31"/>
  </w:num>
  <w:num w:numId="17" w16cid:durableId="732168405">
    <w:abstractNumId w:val="13"/>
  </w:num>
  <w:num w:numId="18" w16cid:durableId="1879514722">
    <w:abstractNumId w:val="29"/>
  </w:num>
  <w:num w:numId="19" w16cid:durableId="499195740">
    <w:abstractNumId w:val="36"/>
  </w:num>
  <w:num w:numId="20" w16cid:durableId="364213039">
    <w:abstractNumId w:val="22"/>
  </w:num>
  <w:num w:numId="21" w16cid:durableId="344358338">
    <w:abstractNumId w:val="19"/>
  </w:num>
  <w:num w:numId="22" w16cid:durableId="803887758">
    <w:abstractNumId w:val="24"/>
  </w:num>
  <w:num w:numId="23" w16cid:durableId="1710959339">
    <w:abstractNumId w:val="23"/>
  </w:num>
  <w:num w:numId="24" w16cid:durableId="339892509">
    <w:abstractNumId w:val="40"/>
  </w:num>
  <w:num w:numId="25" w16cid:durableId="1924142237">
    <w:abstractNumId w:val="8"/>
  </w:num>
  <w:num w:numId="26" w16cid:durableId="1132485088">
    <w:abstractNumId w:val="28"/>
  </w:num>
  <w:num w:numId="27" w16cid:durableId="444353693">
    <w:abstractNumId w:val="42"/>
  </w:num>
  <w:num w:numId="28" w16cid:durableId="1514110755">
    <w:abstractNumId w:val="10"/>
  </w:num>
  <w:num w:numId="29" w16cid:durableId="1857190785">
    <w:abstractNumId w:val="25"/>
  </w:num>
  <w:num w:numId="30" w16cid:durableId="1794396136">
    <w:abstractNumId w:val="16"/>
  </w:num>
  <w:num w:numId="31" w16cid:durableId="439178161">
    <w:abstractNumId w:val="43"/>
  </w:num>
  <w:num w:numId="32" w16cid:durableId="1815901868">
    <w:abstractNumId w:val="27"/>
  </w:num>
  <w:num w:numId="33" w16cid:durableId="654577812">
    <w:abstractNumId w:val="35"/>
  </w:num>
  <w:num w:numId="34" w16cid:durableId="1287855617">
    <w:abstractNumId w:val="15"/>
  </w:num>
  <w:num w:numId="35" w16cid:durableId="857698831">
    <w:abstractNumId w:val="45"/>
  </w:num>
  <w:num w:numId="36" w16cid:durableId="1854874176">
    <w:abstractNumId w:val="17"/>
  </w:num>
  <w:num w:numId="37" w16cid:durableId="500584590">
    <w:abstractNumId w:val="12"/>
  </w:num>
  <w:num w:numId="38" w16cid:durableId="1532691842">
    <w:abstractNumId w:val="26"/>
  </w:num>
  <w:num w:numId="39" w16cid:durableId="308822998">
    <w:abstractNumId w:val="34"/>
  </w:num>
  <w:num w:numId="40" w16cid:durableId="651445263">
    <w:abstractNumId w:val="47"/>
  </w:num>
  <w:num w:numId="41" w16cid:durableId="1873885326">
    <w:abstractNumId w:val="18"/>
  </w:num>
  <w:num w:numId="42" w16cid:durableId="1560938342">
    <w:abstractNumId w:val="21"/>
  </w:num>
  <w:num w:numId="43" w16cid:durableId="65151213">
    <w:abstractNumId w:val="46"/>
  </w:num>
  <w:num w:numId="44" w16cid:durableId="1602058894">
    <w:abstractNumId w:val="44"/>
  </w:num>
  <w:num w:numId="45" w16cid:durableId="1557660290">
    <w:abstractNumId w:val="41"/>
  </w:num>
  <w:num w:numId="46" w16cid:durableId="802620489">
    <w:abstractNumId w:val="39"/>
  </w:num>
  <w:num w:numId="47" w16cid:durableId="65038246">
    <w:abstractNumId w:val="48"/>
  </w:num>
  <w:num w:numId="48" w16cid:durableId="660044477">
    <w:abstractNumId w:val="38"/>
  </w:num>
  <w:num w:numId="49" w16cid:durableId="13645738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hyphenationZone w:val="425"/>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nnexno" w:val="1"/>
    <w:docVar w:name="AskAnnex" w:val="Yes"/>
    <w:docVar w:name="Div" w:val="  "/>
    <w:docVar w:name="SingleAnnex" w:val="No"/>
    <w:docVar w:name="Symbol" w:val="789"/>
  </w:docVars>
  <w:rsids>
    <w:rsidRoot w:val="00911084"/>
    <w:rsid w:val="00004DE7"/>
    <w:rsid w:val="00044F83"/>
    <w:rsid w:val="000505BB"/>
    <w:rsid w:val="0005563B"/>
    <w:rsid w:val="0005722A"/>
    <w:rsid w:val="000649D7"/>
    <w:rsid w:val="000852BA"/>
    <w:rsid w:val="00091B36"/>
    <w:rsid w:val="000925B9"/>
    <w:rsid w:val="000D08F2"/>
    <w:rsid w:val="000D21A9"/>
    <w:rsid w:val="000E2061"/>
    <w:rsid w:val="000F11DC"/>
    <w:rsid w:val="000F2455"/>
    <w:rsid w:val="001103A4"/>
    <w:rsid w:val="00111F43"/>
    <w:rsid w:val="00134421"/>
    <w:rsid w:val="00135842"/>
    <w:rsid w:val="00152AFC"/>
    <w:rsid w:val="0015740B"/>
    <w:rsid w:val="0018142F"/>
    <w:rsid w:val="001863E2"/>
    <w:rsid w:val="001964DC"/>
    <w:rsid w:val="0019738D"/>
    <w:rsid w:val="001A0DDA"/>
    <w:rsid w:val="001A567C"/>
    <w:rsid w:val="001A7EA1"/>
    <w:rsid w:val="001B2CA0"/>
    <w:rsid w:val="001C0230"/>
    <w:rsid w:val="001C42BF"/>
    <w:rsid w:val="001C5EEA"/>
    <w:rsid w:val="001D3728"/>
    <w:rsid w:val="001D50F5"/>
    <w:rsid w:val="001F3D6C"/>
    <w:rsid w:val="001F5B40"/>
    <w:rsid w:val="00202603"/>
    <w:rsid w:val="00211291"/>
    <w:rsid w:val="0021383D"/>
    <w:rsid w:val="002159BC"/>
    <w:rsid w:val="002208DB"/>
    <w:rsid w:val="002210BB"/>
    <w:rsid w:val="002227B7"/>
    <w:rsid w:val="0023599F"/>
    <w:rsid w:val="0024348F"/>
    <w:rsid w:val="00245368"/>
    <w:rsid w:val="00247D65"/>
    <w:rsid w:val="00257B9B"/>
    <w:rsid w:val="00261C7D"/>
    <w:rsid w:val="0027072A"/>
    <w:rsid w:val="002728C2"/>
    <w:rsid w:val="00276BED"/>
    <w:rsid w:val="002A44AF"/>
    <w:rsid w:val="002B0A3A"/>
    <w:rsid w:val="002D160D"/>
    <w:rsid w:val="002E0FA2"/>
    <w:rsid w:val="002F469F"/>
    <w:rsid w:val="002F7CEF"/>
    <w:rsid w:val="00334519"/>
    <w:rsid w:val="00337397"/>
    <w:rsid w:val="003572BF"/>
    <w:rsid w:val="003660D6"/>
    <w:rsid w:val="00366AAC"/>
    <w:rsid w:val="00367217"/>
    <w:rsid w:val="00375DA3"/>
    <w:rsid w:val="00390FFB"/>
    <w:rsid w:val="00393A1D"/>
    <w:rsid w:val="003A3BF6"/>
    <w:rsid w:val="003A600D"/>
    <w:rsid w:val="003B0484"/>
    <w:rsid w:val="003D22B4"/>
    <w:rsid w:val="003D52E6"/>
    <w:rsid w:val="003F31E6"/>
    <w:rsid w:val="003F3B7D"/>
    <w:rsid w:val="003F5D35"/>
    <w:rsid w:val="004057D3"/>
    <w:rsid w:val="004323D3"/>
    <w:rsid w:val="00434729"/>
    <w:rsid w:val="0044340A"/>
    <w:rsid w:val="00452439"/>
    <w:rsid w:val="00457311"/>
    <w:rsid w:val="00460A5F"/>
    <w:rsid w:val="00460D79"/>
    <w:rsid w:val="00482D09"/>
    <w:rsid w:val="0048455A"/>
    <w:rsid w:val="00486ECD"/>
    <w:rsid w:val="004C2C79"/>
    <w:rsid w:val="004D528F"/>
    <w:rsid w:val="004D7208"/>
    <w:rsid w:val="004E17A0"/>
    <w:rsid w:val="00503A08"/>
    <w:rsid w:val="00520D66"/>
    <w:rsid w:val="0052611B"/>
    <w:rsid w:val="00531940"/>
    <w:rsid w:val="005461C7"/>
    <w:rsid w:val="0054669C"/>
    <w:rsid w:val="005545F4"/>
    <w:rsid w:val="00581BE9"/>
    <w:rsid w:val="00592438"/>
    <w:rsid w:val="005A3B9B"/>
    <w:rsid w:val="005A3D28"/>
    <w:rsid w:val="005E1512"/>
    <w:rsid w:val="005E6953"/>
    <w:rsid w:val="005F3716"/>
    <w:rsid w:val="005F380D"/>
    <w:rsid w:val="006135CA"/>
    <w:rsid w:val="0063034A"/>
    <w:rsid w:val="00630A78"/>
    <w:rsid w:val="00645972"/>
    <w:rsid w:val="00683775"/>
    <w:rsid w:val="00684DF4"/>
    <w:rsid w:val="0069151D"/>
    <w:rsid w:val="006B35F0"/>
    <w:rsid w:val="006B664D"/>
    <w:rsid w:val="006D2EE1"/>
    <w:rsid w:val="006E5522"/>
    <w:rsid w:val="007021A5"/>
    <w:rsid w:val="007028B3"/>
    <w:rsid w:val="007205FC"/>
    <w:rsid w:val="00736183"/>
    <w:rsid w:val="007463AA"/>
    <w:rsid w:val="007531CE"/>
    <w:rsid w:val="00757466"/>
    <w:rsid w:val="00770529"/>
    <w:rsid w:val="00776183"/>
    <w:rsid w:val="00793751"/>
    <w:rsid w:val="007C0FBC"/>
    <w:rsid w:val="007F0D2D"/>
    <w:rsid w:val="007F161B"/>
    <w:rsid w:val="007F3040"/>
    <w:rsid w:val="00804000"/>
    <w:rsid w:val="00815074"/>
    <w:rsid w:val="00834F8E"/>
    <w:rsid w:val="00847D20"/>
    <w:rsid w:val="00850FFA"/>
    <w:rsid w:val="00852F6F"/>
    <w:rsid w:val="00857F43"/>
    <w:rsid w:val="00865DB8"/>
    <w:rsid w:val="00875804"/>
    <w:rsid w:val="008963D3"/>
    <w:rsid w:val="008A127D"/>
    <w:rsid w:val="008A33C5"/>
    <w:rsid w:val="008B3776"/>
    <w:rsid w:val="00904C8A"/>
    <w:rsid w:val="00911084"/>
    <w:rsid w:val="00914AFA"/>
    <w:rsid w:val="00924227"/>
    <w:rsid w:val="009248E6"/>
    <w:rsid w:val="00931AB4"/>
    <w:rsid w:val="00940480"/>
    <w:rsid w:val="009431D7"/>
    <w:rsid w:val="009461F6"/>
    <w:rsid w:val="009517D7"/>
    <w:rsid w:val="009811CC"/>
    <w:rsid w:val="0098443D"/>
    <w:rsid w:val="00992099"/>
    <w:rsid w:val="00997308"/>
    <w:rsid w:val="009A4902"/>
    <w:rsid w:val="009B698A"/>
    <w:rsid w:val="009E2315"/>
    <w:rsid w:val="009F0E5A"/>
    <w:rsid w:val="009F5A0F"/>
    <w:rsid w:val="009F6542"/>
    <w:rsid w:val="00A150F7"/>
    <w:rsid w:val="00A27E2D"/>
    <w:rsid w:val="00A337F0"/>
    <w:rsid w:val="00A527BA"/>
    <w:rsid w:val="00A5312B"/>
    <w:rsid w:val="00A54044"/>
    <w:rsid w:val="00A5484F"/>
    <w:rsid w:val="00A5736E"/>
    <w:rsid w:val="00A66CF0"/>
    <w:rsid w:val="00A717FB"/>
    <w:rsid w:val="00A812B8"/>
    <w:rsid w:val="00A81783"/>
    <w:rsid w:val="00A85447"/>
    <w:rsid w:val="00A927D9"/>
    <w:rsid w:val="00AA523A"/>
    <w:rsid w:val="00AE08E9"/>
    <w:rsid w:val="00AE3199"/>
    <w:rsid w:val="00AF1FC1"/>
    <w:rsid w:val="00AF4D68"/>
    <w:rsid w:val="00AF4FC3"/>
    <w:rsid w:val="00B21952"/>
    <w:rsid w:val="00B2455D"/>
    <w:rsid w:val="00B272AE"/>
    <w:rsid w:val="00B35CA5"/>
    <w:rsid w:val="00B46D34"/>
    <w:rsid w:val="00B54EE6"/>
    <w:rsid w:val="00B62F26"/>
    <w:rsid w:val="00B70D4E"/>
    <w:rsid w:val="00BA12B3"/>
    <w:rsid w:val="00BA6B83"/>
    <w:rsid w:val="00BC6903"/>
    <w:rsid w:val="00BD2292"/>
    <w:rsid w:val="00BE10C2"/>
    <w:rsid w:val="00BF2B45"/>
    <w:rsid w:val="00C0429F"/>
    <w:rsid w:val="00C14E51"/>
    <w:rsid w:val="00C16938"/>
    <w:rsid w:val="00C403B3"/>
    <w:rsid w:val="00C41DC9"/>
    <w:rsid w:val="00C47FA5"/>
    <w:rsid w:val="00C5577A"/>
    <w:rsid w:val="00C854FD"/>
    <w:rsid w:val="00CA1E1C"/>
    <w:rsid w:val="00CC53DC"/>
    <w:rsid w:val="00CD375D"/>
    <w:rsid w:val="00D0688C"/>
    <w:rsid w:val="00D10E97"/>
    <w:rsid w:val="00D12193"/>
    <w:rsid w:val="00D122F2"/>
    <w:rsid w:val="00D13E72"/>
    <w:rsid w:val="00D366AD"/>
    <w:rsid w:val="00D42524"/>
    <w:rsid w:val="00D53F24"/>
    <w:rsid w:val="00D61E9B"/>
    <w:rsid w:val="00D76868"/>
    <w:rsid w:val="00DA7544"/>
    <w:rsid w:val="00DB211E"/>
    <w:rsid w:val="00DC2FDF"/>
    <w:rsid w:val="00DC42E0"/>
    <w:rsid w:val="00DD2A0C"/>
    <w:rsid w:val="00DE73AA"/>
    <w:rsid w:val="00DF6B90"/>
    <w:rsid w:val="00E011DD"/>
    <w:rsid w:val="00E10561"/>
    <w:rsid w:val="00E27826"/>
    <w:rsid w:val="00E427B0"/>
    <w:rsid w:val="00E51421"/>
    <w:rsid w:val="00E568B5"/>
    <w:rsid w:val="00E72F40"/>
    <w:rsid w:val="00E85A38"/>
    <w:rsid w:val="00E85CC4"/>
    <w:rsid w:val="00EA32C6"/>
    <w:rsid w:val="00EB0CD1"/>
    <w:rsid w:val="00EB4A40"/>
    <w:rsid w:val="00F41638"/>
    <w:rsid w:val="00F50CDB"/>
    <w:rsid w:val="00F5161B"/>
    <w:rsid w:val="00F57030"/>
    <w:rsid w:val="00F673C6"/>
    <w:rsid w:val="00F76CCC"/>
    <w:rsid w:val="00F775EB"/>
    <w:rsid w:val="00F80A97"/>
    <w:rsid w:val="00F8639E"/>
    <w:rsid w:val="00F95E1A"/>
    <w:rsid w:val="00FA1115"/>
    <w:rsid w:val="00FA2D59"/>
    <w:rsid w:val="00FB4155"/>
    <w:rsid w:val="00FD4DAB"/>
    <w:rsid w:val="00FF0985"/>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8F78F40"/>
  <w15:chartTrackingRefBased/>
  <w15:docId w15:val="{5A35B44F-CE6B-46AA-95B8-19AACCE8CB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tabs>
        <w:tab w:val="left" w:pos="851"/>
      </w:tabs>
      <w:jc w:val="both"/>
    </w:pPr>
    <w:rPr>
      <w:rFonts w:ascii="Arial" w:hAnsi="Arial"/>
      <w:sz w:val="22"/>
      <w:lang w:eastAsia="en-US"/>
    </w:rPr>
  </w:style>
  <w:style w:type="paragraph" w:styleId="Kop1">
    <w:name w:val="heading 1"/>
    <w:basedOn w:val="Standaard"/>
    <w:next w:val="Standaard"/>
    <w:link w:val="Kop1Char"/>
    <w:uiPriority w:val="9"/>
    <w:qFormat/>
    <w:pPr>
      <w:outlineLvl w:val="0"/>
    </w:pPr>
  </w:style>
  <w:style w:type="paragraph" w:styleId="Kop2">
    <w:name w:val="heading 2"/>
    <w:basedOn w:val="Standaard"/>
    <w:next w:val="Standaard"/>
    <w:qFormat/>
    <w:pPr>
      <w:outlineLvl w:val="1"/>
    </w:pPr>
  </w:style>
  <w:style w:type="paragraph" w:styleId="Kop3">
    <w:name w:val="heading 3"/>
    <w:basedOn w:val="Standaard"/>
    <w:next w:val="Standaard"/>
    <w:qFormat/>
    <w:pPr>
      <w:outlineLvl w:val="2"/>
    </w:pPr>
  </w:style>
  <w:style w:type="paragraph" w:styleId="Kop4">
    <w:name w:val="heading 4"/>
    <w:basedOn w:val="Standaard"/>
    <w:next w:val="Standaard"/>
    <w:qFormat/>
    <w:pPr>
      <w:outlineLvl w:val="3"/>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Paginanummer">
    <w:name w:val="page number"/>
    <w:basedOn w:val="Standaardalinea-lettertype"/>
  </w:style>
  <w:style w:type="paragraph" w:styleId="Koptekst">
    <w:name w:val="header"/>
    <w:basedOn w:val="Standaard"/>
    <w:link w:val="KoptekstChar"/>
    <w:uiPriority w:val="99"/>
    <w:pPr>
      <w:tabs>
        <w:tab w:val="center" w:pos="4153"/>
        <w:tab w:val="right" w:pos="8306"/>
      </w:tabs>
    </w:pPr>
  </w:style>
  <w:style w:type="paragraph" w:styleId="Voettekst">
    <w:name w:val="footer"/>
    <w:aliases w:val=" Char"/>
    <w:basedOn w:val="Standaard"/>
    <w:link w:val="VoettekstChar"/>
    <w:uiPriority w:val="99"/>
    <w:pPr>
      <w:tabs>
        <w:tab w:val="center" w:pos="4153"/>
        <w:tab w:val="right" w:pos="8306"/>
      </w:tabs>
    </w:pPr>
    <w:rPr>
      <w:sz w:val="18"/>
    </w:rPr>
  </w:style>
  <w:style w:type="table" w:styleId="Tabelraster">
    <w:name w:val="Table Grid"/>
    <w:basedOn w:val="Standaardtabel"/>
    <w:uiPriority w:val="3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
    <w:name w:val="Char Char Char"/>
    <w:basedOn w:val="Standaard"/>
    <w:pPr>
      <w:jc w:val="left"/>
    </w:pPr>
    <w:rPr>
      <w:szCs w:val="24"/>
      <w:lang w:val="pl-PL" w:eastAsia="pl-PL"/>
    </w:rPr>
  </w:style>
  <w:style w:type="character" w:styleId="Voetnootmarkering">
    <w:name w:val="footnote reference"/>
    <w:uiPriority w:val="99"/>
    <w:rPr>
      <w:rFonts w:ascii="Arial" w:hAnsi="Arial"/>
      <w:sz w:val="22"/>
      <w:vertAlign w:val="superscript"/>
    </w:rPr>
  </w:style>
  <w:style w:type="paragraph" w:styleId="Voetnoottekst">
    <w:name w:val="footnote text"/>
    <w:basedOn w:val="Standaard"/>
    <w:link w:val="VoetnoottekstChar"/>
    <w:uiPriority w:val="99"/>
    <w:pPr>
      <w:tabs>
        <w:tab w:val="clear" w:pos="851"/>
        <w:tab w:val="left" w:pos="567"/>
      </w:tabs>
      <w:ind w:left="567" w:hanging="567"/>
    </w:pPr>
    <w:rPr>
      <w:sz w:val="18"/>
    </w:rPr>
  </w:style>
  <w:style w:type="character" w:customStyle="1" w:styleId="VoettekstChar">
    <w:name w:val="Voettekst Char"/>
    <w:aliases w:val=" Char Char"/>
    <w:basedOn w:val="Standaardalinea-lettertype"/>
    <w:link w:val="Voettekst"/>
    <w:uiPriority w:val="99"/>
    <w:rsid w:val="00630A78"/>
    <w:rPr>
      <w:rFonts w:ascii="Arial" w:hAnsi="Arial"/>
      <w:sz w:val="18"/>
      <w:lang w:eastAsia="en-US"/>
    </w:rPr>
  </w:style>
  <w:style w:type="paragraph" w:styleId="Lijstalinea">
    <w:name w:val="List Paragraph"/>
    <w:basedOn w:val="Standaard"/>
    <w:uiPriority w:val="34"/>
    <w:qFormat/>
    <w:rsid w:val="00366AAC"/>
    <w:pPr>
      <w:ind w:left="720"/>
      <w:contextualSpacing/>
    </w:pPr>
  </w:style>
  <w:style w:type="paragraph" w:styleId="Revisie">
    <w:name w:val="Revision"/>
    <w:hidden/>
    <w:uiPriority w:val="99"/>
    <w:semiHidden/>
    <w:rsid w:val="00DA7544"/>
    <w:rPr>
      <w:rFonts w:ascii="Arial" w:hAnsi="Arial"/>
      <w:sz w:val="22"/>
      <w:lang w:eastAsia="en-US"/>
    </w:rPr>
  </w:style>
  <w:style w:type="character" w:customStyle="1" w:styleId="Kop1Char">
    <w:name w:val="Kop 1 Char"/>
    <w:basedOn w:val="Standaardalinea-lettertype"/>
    <w:link w:val="Kop1"/>
    <w:uiPriority w:val="9"/>
    <w:rsid w:val="002D160D"/>
    <w:rPr>
      <w:rFonts w:ascii="Arial" w:hAnsi="Arial"/>
      <w:sz w:val="22"/>
      <w:lang w:eastAsia="en-US"/>
    </w:rPr>
  </w:style>
  <w:style w:type="character" w:styleId="Verwijzingopmerking">
    <w:name w:val="annotation reference"/>
    <w:basedOn w:val="Standaardalinea-lettertype"/>
    <w:uiPriority w:val="99"/>
    <w:semiHidden/>
    <w:unhideWhenUsed/>
    <w:rsid w:val="002D160D"/>
    <w:rPr>
      <w:sz w:val="16"/>
      <w:szCs w:val="16"/>
    </w:rPr>
  </w:style>
  <w:style w:type="paragraph" w:styleId="Tekstopmerking">
    <w:name w:val="annotation text"/>
    <w:basedOn w:val="Standaard"/>
    <w:link w:val="TekstopmerkingChar"/>
    <w:uiPriority w:val="99"/>
    <w:unhideWhenUsed/>
    <w:rsid w:val="002D160D"/>
    <w:pPr>
      <w:tabs>
        <w:tab w:val="clear" w:pos="851"/>
      </w:tabs>
      <w:jc w:val="left"/>
    </w:pPr>
    <w:rPr>
      <w:rFonts w:ascii="Calibri" w:eastAsiaTheme="minorHAnsi" w:hAnsi="Calibri" w:cs="Calibri"/>
      <w:sz w:val="20"/>
      <w:lang w:val="nl-NL" w:eastAsia="nl-NL"/>
    </w:rPr>
  </w:style>
  <w:style w:type="character" w:customStyle="1" w:styleId="TekstopmerkingChar">
    <w:name w:val="Tekst opmerking Char"/>
    <w:basedOn w:val="Standaardalinea-lettertype"/>
    <w:link w:val="Tekstopmerking"/>
    <w:uiPriority w:val="99"/>
    <w:rsid w:val="002D160D"/>
    <w:rPr>
      <w:rFonts w:ascii="Calibri" w:eastAsiaTheme="minorHAnsi" w:hAnsi="Calibri" w:cs="Calibri"/>
      <w:lang w:val="nl-NL" w:eastAsia="nl-NL"/>
    </w:rPr>
  </w:style>
  <w:style w:type="paragraph" w:styleId="Ondertitel">
    <w:name w:val="Subtitle"/>
    <w:basedOn w:val="Standaard"/>
    <w:next w:val="Standaard"/>
    <w:link w:val="OndertitelChar"/>
    <w:uiPriority w:val="11"/>
    <w:qFormat/>
    <w:rsid w:val="002D160D"/>
    <w:pPr>
      <w:numPr>
        <w:ilvl w:val="1"/>
      </w:numPr>
      <w:tabs>
        <w:tab w:val="clear" w:pos="851"/>
      </w:tabs>
      <w:spacing w:after="160" w:line="259" w:lineRule="auto"/>
      <w:jc w:val="center"/>
    </w:pPr>
    <w:rPr>
      <w:rFonts w:ascii="Museo Sans 500" w:eastAsiaTheme="minorEastAsia" w:hAnsi="Museo Sans 500" w:cstheme="minorBidi"/>
      <w:i/>
      <w:color w:val="5A5A5A" w:themeColor="text1" w:themeTint="A5"/>
      <w:spacing w:val="15"/>
      <w:kern w:val="2"/>
      <w:sz w:val="28"/>
      <w:szCs w:val="22"/>
      <w:lang w:val="nl-NL"/>
      <w14:ligatures w14:val="standardContextual"/>
    </w:rPr>
  </w:style>
  <w:style w:type="character" w:customStyle="1" w:styleId="OndertitelChar">
    <w:name w:val="Ondertitel Char"/>
    <w:basedOn w:val="Standaardalinea-lettertype"/>
    <w:link w:val="Ondertitel"/>
    <w:uiPriority w:val="11"/>
    <w:rsid w:val="002D160D"/>
    <w:rPr>
      <w:rFonts w:ascii="Museo Sans 500" w:eastAsiaTheme="minorEastAsia" w:hAnsi="Museo Sans 500" w:cstheme="minorBidi"/>
      <w:i/>
      <w:color w:val="5A5A5A" w:themeColor="text1" w:themeTint="A5"/>
      <w:spacing w:val="15"/>
      <w:kern w:val="2"/>
      <w:sz w:val="28"/>
      <w:szCs w:val="22"/>
      <w:lang w:val="nl-NL" w:eastAsia="en-US"/>
      <w14:ligatures w14:val="standardContextual"/>
    </w:rPr>
  </w:style>
  <w:style w:type="character" w:customStyle="1" w:styleId="VoetnoottekstChar">
    <w:name w:val="Voetnoottekst Char"/>
    <w:basedOn w:val="Standaardalinea-lettertype"/>
    <w:link w:val="Voetnoottekst"/>
    <w:uiPriority w:val="99"/>
    <w:rsid w:val="002D160D"/>
    <w:rPr>
      <w:rFonts w:ascii="Arial" w:hAnsi="Arial"/>
      <w:sz w:val="18"/>
      <w:lang w:eastAsia="en-US"/>
    </w:rPr>
  </w:style>
  <w:style w:type="character" w:customStyle="1" w:styleId="KoptekstChar">
    <w:name w:val="Koptekst Char"/>
    <w:basedOn w:val="Standaardalinea-lettertype"/>
    <w:link w:val="Koptekst"/>
    <w:uiPriority w:val="99"/>
    <w:rsid w:val="002D160D"/>
    <w:rPr>
      <w:rFonts w:ascii="Arial" w:hAnsi="Arial"/>
      <w:sz w:val="22"/>
      <w:lang w:eastAsia="en-US"/>
    </w:rPr>
  </w:style>
  <w:style w:type="character" w:styleId="Hyperlink">
    <w:name w:val="Hyperlink"/>
    <w:basedOn w:val="Standaardalinea-lettertype"/>
    <w:uiPriority w:val="99"/>
    <w:unhideWhenUsed/>
    <w:rsid w:val="002D160D"/>
    <w:rPr>
      <w:color w:val="0000FF"/>
      <w:u w:val="single"/>
    </w:rPr>
  </w:style>
  <w:style w:type="paragraph" w:styleId="Geenafstand">
    <w:name w:val="No Spacing"/>
    <w:aliases w:val="Figure/table"/>
    <w:next w:val="Standaard"/>
    <w:uiPriority w:val="1"/>
    <w:qFormat/>
    <w:rsid w:val="002D160D"/>
    <w:pPr>
      <w:jc w:val="both"/>
    </w:pPr>
    <w:rPr>
      <w:rFonts w:ascii="Museo Sans 100" w:eastAsiaTheme="minorHAnsi" w:hAnsi="Museo Sans 100" w:cstheme="minorBidi"/>
      <w:i/>
      <w:kern w:val="2"/>
      <w:sz w:val="18"/>
      <w:szCs w:val="22"/>
      <w:lang w:val="nl-NL" w:eastAsia="en-US"/>
      <w14:ligatures w14:val="standardContextual"/>
    </w:rPr>
  </w:style>
  <w:style w:type="paragraph" w:styleId="Onderwerpvanopmerking">
    <w:name w:val="annotation subject"/>
    <w:basedOn w:val="Tekstopmerking"/>
    <w:next w:val="Tekstopmerking"/>
    <w:link w:val="OnderwerpvanopmerkingChar"/>
    <w:uiPriority w:val="99"/>
    <w:semiHidden/>
    <w:unhideWhenUsed/>
    <w:rsid w:val="002D160D"/>
    <w:rPr>
      <w:b/>
      <w:bCs/>
    </w:rPr>
  </w:style>
  <w:style w:type="character" w:customStyle="1" w:styleId="OnderwerpvanopmerkingChar">
    <w:name w:val="Onderwerp van opmerking Char"/>
    <w:basedOn w:val="TekstopmerkingChar"/>
    <w:link w:val="Onderwerpvanopmerking"/>
    <w:uiPriority w:val="99"/>
    <w:semiHidden/>
    <w:rsid w:val="002D160D"/>
    <w:rPr>
      <w:rFonts w:ascii="Calibri" w:eastAsiaTheme="minorHAnsi" w:hAnsi="Calibri" w:cs="Calibri"/>
      <w:b/>
      <w:bCs/>
      <w:lang w:val="nl-NL" w:eastAsia="nl-NL"/>
    </w:rPr>
  </w:style>
  <w:style w:type="paragraph" w:styleId="Plattetekst">
    <w:name w:val="Body Text"/>
    <w:basedOn w:val="Standaard"/>
    <w:link w:val="PlattetekstChar"/>
    <w:uiPriority w:val="99"/>
    <w:unhideWhenUsed/>
    <w:rsid w:val="002D160D"/>
    <w:pPr>
      <w:tabs>
        <w:tab w:val="clear" w:pos="851"/>
      </w:tabs>
      <w:spacing w:after="120"/>
      <w:jc w:val="left"/>
    </w:pPr>
    <w:rPr>
      <w:rFonts w:ascii="Calibri" w:eastAsiaTheme="minorHAnsi" w:hAnsi="Calibri" w:cs="Calibri"/>
      <w:szCs w:val="22"/>
      <w:lang w:val="nl-NL" w:eastAsia="nl-NL"/>
    </w:rPr>
  </w:style>
  <w:style w:type="character" w:customStyle="1" w:styleId="PlattetekstChar">
    <w:name w:val="Platte tekst Char"/>
    <w:basedOn w:val="Standaardalinea-lettertype"/>
    <w:link w:val="Plattetekst"/>
    <w:uiPriority w:val="99"/>
    <w:rsid w:val="002D160D"/>
    <w:rPr>
      <w:rFonts w:ascii="Calibri" w:eastAsiaTheme="minorHAnsi" w:hAnsi="Calibri" w:cs="Calibri"/>
      <w:sz w:val="22"/>
      <w:szCs w:val="22"/>
      <w:lang w:val="nl-NL" w:eastAsia="nl-NL"/>
    </w:rPr>
  </w:style>
  <w:style w:type="character" w:styleId="Onopgelostemelding">
    <w:name w:val="Unresolved Mention"/>
    <w:basedOn w:val="Standaardalinea-lettertype"/>
    <w:uiPriority w:val="99"/>
    <w:semiHidden/>
    <w:unhideWhenUsed/>
    <w:rsid w:val="002D160D"/>
    <w:rPr>
      <w:color w:val="605E5C"/>
      <w:shd w:val="clear" w:color="auto" w:fill="E1DFDD"/>
    </w:rPr>
  </w:style>
  <w:style w:type="character" w:customStyle="1" w:styleId="cf01">
    <w:name w:val="cf01"/>
    <w:basedOn w:val="Standaardalinea-lettertype"/>
    <w:rsid w:val="002D160D"/>
    <w:rPr>
      <w:rFonts w:ascii="Segoe UI" w:hAnsi="Segoe UI" w:cs="Segoe UI" w:hint="default"/>
      <w:sz w:val="18"/>
      <w:szCs w:val="18"/>
    </w:rPr>
  </w:style>
  <w:style w:type="paragraph" w:customStyle="1" w:styleId="pf0">
    <w:name w:val="pf0"/>
    <w:basedOn w:val="Standaard"/>
    <w:rsid w:val="002D160D"/>
    <w:pPr>
      <w:tabs>
        <w:tab w:val="clear" w:pos="851"/>
      </w:tabs>
      <w:spacing w:before="100" w:beforeAutospacing="1" w:after="100" w:afterAutospacing="1"/>
      <w:jc w:val="left"/>
    </w:pPr>
    <w:rPr>
      <w:rFonts w:ascii="Times New Roman" w:hAnsi="Times New Roman"/>
      <w:sz w:val="24"/>
      <w:szCs w:val="24"/>
      <w:lang w:val="nl-NL" w:eastAsia="nl-NL"/>
    </w:rPr>
  </w:style>
  <w:style w:type="character" w:styleId="GevolgdeHyperlink">
    <w:name w:val="FollowedHyperlink"/>
    <w:basedOn w:val="Standaardalinea-lettertype"/>
    <w:uiPriority w:val="99"/>
    <w:semiHidden/>
    <w:unhideWhenUsed/>
    <w:rsid w:val="002D160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702998">
      <w:bodyDiv w:val="1"/>
      <w:marLeft w:val="0"/>
      <w:marRight w:val="0"/>
      <w:marTop w:val="0"/>
      <w:marBottom w:val="0"/>
      <w:divBdr>
        <w:top w:val="none" w:sz="0" w:space="0" w:color="auto"/>
        <w:left w:val="none" w:sz="0" w:space="0" w:color="auto"/>
        <w:bottom w:val="none" w:sz="0" w:space="0" w:color="auto"/>
        <w:right w:val="none" w:sz="0" w:space="0" w:color="auto"/>
      </w:divBdr>
    </w:div>
    <w:div w:id="756903825">
      <w:bodyDiv w:val="1"/>
      <w:marLeft w:val="0"/>
      <w:marRight w:val="0"/>
      <w:marTop w:val="0"/>
      <w:marBottom w:val="0"/>
      <w:divBdr>
        <w:top w:val="none" w:sz="0" w:space="0" w:color="auto"/>
        <w:left w:val="none" w:sz="0" w:space="0" w:color="auto"/>
        <w:bottom w:val="none" w:sz="0" w:space="0" w:color="auto"/>
        <w:right w:val="none" w:sz="0" w:space="0" w:color="auto"/>
      </w:divBdr>
    </w:div>
    <w:div w:id="16265424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iopcfunds.org/wp-content/uploads/2024/11/IOPC-Funds-Guide-to-Persistent-Oil-and-Contributing-Oils_e.pdf" TargetMode="External"/><Relationship Id="rId3" Type="http://schemas.openxmlformats.org/officeDocument/2006/relationships/hyperlink" Target="https://www.iea.org/energy-system/low-emission-fuels/biofuels" TargetMode="External"/><Relationship Id="rId7" Type="http://schemas.openxmlformats.org/officeDocument/2006/relationships/hyperlink" Target="https://www.efsa.europa.eu/en/topics/topic/mineral-oil-hydrocarbons" TargetMode="External"/><Relationship Id="rId2" Type="http://schemas.openxmlformats.org/officeDocument/2006/relationships/hyperlink" Target="https://www.iea.org/reports/renewables-2023/transport-biofuels" TargetMode="External"/><Relationship Id="rId1" Type="http://schemas.openxmlformats.org/officeDocument/2006/relationships/hyperlink" Target="file:///C:\Users\kruit\Downloads\Biofuel_whitepaper_2025.pdf" TargetMode="External"/><Relationship Id="rId6" Type="http://schemas.openxmlformats.org/officeDocument/2006/relationships/hyperlink" Target="https://www.itopf.org/knowledge-resources/documents-guides/fate-behaviour-potential-damage-liabilities-arising-from-a-spill-of-biofuels-in-the-marine-environment/" TargetMode="External"/><Relationship Id="rId5" Type="http://schemas.openxmlformats.org/officeDocument/2006/relationships/hyperlink" Target="https://shipandbunker.com/news/world/350178-insight-what-to-look-out-for-when-buying-biofuel-bunkers" TargetMode="External"/><Relationship Id="rId4" Type="http://schemas.openxmlformats.org/officeDocument/2006/relationships/hyperlink" Target="https://maritime.lr.org/fft-biofue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ClientCode xmlns="46f8d830-57dd-4338-bc5a-db0b1c77b067">289360</ClientCode>
    <ClientName xmlns="46f8d830-57dd-4338-bc5a-db0b1c77b067">Van Traa Advocaten N.V.</ClientName>
    <MatterCode xmlns="46f8d830-57dd-4338-bc5a-db0b1c77b067">P23043</MatterCode>
    <MatterName xmlns="46f8d830-57dd-4338-bc5a-db0b1c77b067">CMI IWG on Maritime Decarbonisation</MatterName>
    <TaxCatchAll xmlns="46f8d830-57dd-4338-bc5a-db0b1c77b067" xsi:nil="true"/>
    <_dlc_DocId xmlns="46f8d830-57dd-4338-bc5a-db0b1c77b067">P23043-179653424-1912</_dlc_DocId>
    <_dlc_DocIdUrl xmlns="46f8d830-57dd-4338-bc5a-db0b1c77b067">
      <Url>https://vantraa.sharepoint.com/sites/DMS_P23043/_layouts/15/DocIdRedir.aspx?ID=P23043-179653424-1912</Url>
      <Description>P23043-179653424-1912</Description>
    </_dlc_DocIdUrl>
  </documentManagement>
</p:properties>
</file>

<file path=customXml/item3.xml><?xml version="1.0" encoding="utf-8"?>
<ct:contentTypeSchema xmlns:ct="http://schemas.microsoft.com/office/2006/metadata/contentType" xmlns:ma="http://schemas.microsoft.com/office/2006/metadata/properties/metaAttributes" ct:_="" ma:_="" ma:contentTypeName="DMS Document" ma:contentTypeID="0x0101004FB9B166AA04AF4F91E08478483572A30094A2283B7AAB2B45AEE030C9E3BF985B" ma:contentTypeVersion="17" ma:contentTypeDescription="Een nieuw document maken." ma:contentTypeScope="" ma:versionID="0421904519b5d032d369da75eafc73a8">
  <xsd:schema xmlns:xsd="http://www.w3.org/2001/XMLSchema" xmlns:xs="http://www.w3.org/2001/XMLSchema" xmlns:p="http://schemas.microsoft.com/office/2006/metadata/properties" xmlns:ns1="46f8d830-57dd-4338-bc5a-db0b1c77b067" xmlns:ns3="14b980a4-dd34-422c-b48a-9513a0b8b4f0" targetNamespace="http://schemas.microsoft.com/office/2006/metadata/properties" ma:root="true" ma:fieldsID="abfd89c8229d47344e79fcf9b3df8039" ns1:_="" ns3:_="">
    <xsd:import namespace="46f8d830-57dd-4338-bc5a-db0b1c77b067"/>
    <xsd:import namespace="14b980a4-dd34-422c-b48a-9513a0b8b4f0"/>
    <xsd:element name="properties">
      <xsd:complexType>
        <xsd:sequence>
          <xsd:element name="documentManagement">
            <xsd:complexType>
              <xsd:all>
                <xsd:element ref="ns1:ClientCode" minOccurs="0"/>
                <xsd:element ref="ns1:ClientName" minOccurs="0"/>
                <xsd:element ref="ns1:MatterCode" minOccurs="0"/>
                <xsd:element ref="ns1:MatterName" minOccurs="0"/>
                <xsd:element ref="ns1:_dlc_DocId" minOccurs="0"/>
                <xsd:element ref="ns1:_dlc_DocIdUrl" minOccurs="0"/>
                <xsd:element ref="ns1:_dlc_DocIdPersistId" minOccurs="0"/>
                <xsd:element ref="ns3:MediaServiceMetadata" minOccurs="0"/>
                <xsd:element ref="ns3:MediaServiceFastMetadata" minOccurs="0"/>
                <xsd:element ref="ns3:MediaServiceObjectDetectorVersions" minOccurs="0"/>
                <xsd:element ref="ns3:MediaServiceSearchProperties" minOccurs="0"/>
                <xsd:element ref="ns3:MediaServiceDateTaken" minOccurs="0"/>
                <xsd:element ref="ns3:lcf76f155ced4ddcb4097134ff3c332f" minOccurs="0"/>
                <xsd:element ref="ns1:TaxCatchAll"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f8d830-57dd-4338-bc5a-db0b1c77b067" elementFormDefault="qualified">
    <xsd:import namespace="http://schemas.microsoft.com/office/2006/documentManagement/types"/>
    <xsd:import namespace="http://schemas.microsoft.com/office/infopath/2007/PartnerControls"/>
    <xsd:element name="ClientCode" ma:index="0" nillable="true" ma:displayName="ClientCode" ma:default="289360" ma:internalName="ClientCode">
      <xsd:simpleType>
        <xsd:restriction base="dms:Text"/>
      </xsd:simpleType>
    </xsd:element>
    <xsd:element name="ClientName" ma:index="2" nillable="true" ma:displayName="ClientName" ma:default="Van Traa Advocaten N.V." ma:internalName="ClientName">
      <xsd:simpleType>
        <xsd:restriction base="dms:Text"/>
      </xsd:simpleType>
    </xsd:element>
    <xsd:element name="MatterCode" ma:index="3" nillable="true" ma:displayName="MatterCode" ma:default="P23043" ma:internalName="MatterCode">
      <xsd:simpleType>
        <xsd:restriction base="dms:Text"/>
      </xsd:simpleType>
    </xsd:element>
    <xsd:element name="MatterName" ma:index="4" nillable="true" ma:displayName="MatterName" ma:default="CMI IWG on Maritime Decarbonisation" ma:internalName="MatterName">
      <xsd:simpleType>
        <xsd:restriction base="dms:Text"/>
      </xsd:simpleType>
    </xsd:element>
    <xsd:element name="_dlc_DocId" ma:index="8"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Id blijven behouden" ma:description="Id behouden tijdens toevoegen." ma:hidden="true" ma:internalName="_dlc_DocIdPersistId" ma:readOnly="true">
      <xsd:simpleType>
        <xsd:restriction base="dms:Boolean"/>
      </xsd:simpleType>
    </xsd:element>
    <xsd:element name="TaxCatchAll" ma:index="22" nillable="true" ma:displayName="Taxonomy Catch All Column" ma:hidden="true" ma:list="{44514fbf-5842-4cc5-82db-0fe683e54672}" ma:internalName="TaxCatchAll" ma:showField="CatchAllData" ma:web="46f8d830-57dd-4338-bc5a-db0b1c77b06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4b980a4-dd34-422c-b48a-9513a0b8b4f0" elementFormDefault="qualified">
    <xsd:import namespace="http://schemas.microsoft.com/office/2006/documentManagement/types"/>
    <xsd:import namespace="http://schemas.microsoft.com/office/infopath/2007/PartnerControls"/>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lcf76f155ced4ddcb4097134ff3c332f" ma:index="21" nillable="true" ma:taxonomy="true" ma:internalName="lcf76f155ced4ddcb4097134ff3c332f" ma:taxonomyFieldName="MediaServiceImageTags" ma:displayName="Afbeeldingtags" ma:readOnly="false" ma:fieldId="{5cf76f15-5ced-4ddc-b409-7134ff3c332f}" ma:taxonomyMulti="true" ma:sspId="ac027936-b1e2-40d9-b301-a8adbdc6aace"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Inhoudstype"/>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389E144F-7667-4ED3-9642-E8546699DF44}">
  <ds:schemaRefs>
    <ds:schemaRef ds:uri="http://schemas.microsoft.com/sharepoint/v3/contenttype/forms"/>
  </ds:schemaRefs>
</ds:datastoreItem>
</file>

<file path=customXml/itemProps2.xml><?xml version="1.0" encoding="utf-8"?>
<ds:datastoreItem xmlns:ds="http://schemas.openxmlformats.org/officeDocument/2006/customXml" ds:itemID="{B96AE617-1D6C-45EF-993A-116061506C13}">
  <ds:schemaRefs>
    <ds:schemaRef ds:uri="http://schemas.microsoft.com/office/2006/metadata/properties"/>
    <ds:schemaRef ds:uri="http://schemas.microsoft.com/office/infopath/2007/PartnerControls"/>
    <ds:schemaRef ds:uri="46f8d830-57dd-4338-bc5a-db0b1c77b067"/>
  </ds:schemaRefs>
</ds:datastoreItem>
</file>

<file path=customXml/itemProps3.xml><?xml version="1.0" encoding="utf-8"?>
<ds:datastoreItem xmlns:ds="http://schemas.openxmlformats.org/officeDocument/2006/customXml" ds:itemID="{AE6B98E4-7E1D-49D4-9ADD-9A78FDE7BC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f8d830-57dd-4338-bc5a-db0b1c77b067"/>
    <ds:schemaRef ds:uri="14b980a4-dd34-422c-b48a-9513a0b8b4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8D08D81-2D1D-44D7-A699-AA682BA29E09}">
  <ds:schemaRefs>
    <ds:schemaRef ds:uri="http://schemas.openxmlformats.org/officeDocument/2006/bibliography"/>
  </ds:schemaRefs>
</ds:datastoreItem>
</file>

<file path=customXml/itemProps5.xml><?xml version="1.0" encoding="utf-8"?>
<ds:datastoreItem xmlns:ds="http://schemas.openxmlformats.org/officeDocument/2006/customXml" ds:itemID="{8F2C430D-F120-4C53-A27B-9102EC8D11EA}">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Pages>
  <Words>2781</Words>
  <Characters>14522</Characters>
  <Application>Microsoft Office Word</Application>
  <DocSecurity>0</DocSecurity>
  <Lines>242</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Jolien Kruit</dc:creator>
  <cp:keywords/>
  <cp:lastModifiedBy>Jolien Kruit</cp:lastModifiedBy>
  <cp:revision>25</cp:revision>
  <dcterms:created xsi:type="dcterms:W3CDTF">2026-02-09T06:02:00Z</dcterms:created>
  <dcterms:modified xsi:type="dcterms:W3CDTF">2026-02-09T06:18:00Z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0x0101004FB9B166AA04AF4F91E08478483572A30094A2283B7AAB2B45AEE030C9E3BF985B</vt:lpwstr>
  </property>
  <property fmtid="{D5CDD505-2E9C-101B-9397-08002B2CF9AE}" pid="3" name="ContentType">
    <vt:lpwstr>DMS Document</vt:lpwstr>
  </property>
  <property fmtid="{D5CDD505-2E9C-101B-9397-08002B2CF9AE}" pid="4" name="ClientCode">
    <vt:lpwstr>289360</vt:lpwstr>
  </property>
  <property fmtid="{D5CDD505-2E9C-101B-9397-08002B2CF9AE}" pid="5" name="ClientName">
    <vt:lpwstr>Van Traa Advocaten N.V.</vt:lpwstr>
  </property>
  <property fmtid="{D5CDD505-2E9C-101B-9397-08002B2CF9AE}" pid="6" name="MatterCode">
    <vt:lpwstr>P23043</vt:lpwstr>
  </property>
  <property fmtid="{D5CDD505-2E9C-101B-9397-08002B2CF9AE}" pid="7" name="MatterName">
    <vt:lpwstr>CMI IWG on Maritime Decarbonisation</vt:lpwstr>
  </property>
  <property fmtid="{D5CDD505-2E9C-101B-9397-08002B2CF9AE}" pid="8" name="Created">
    <vt:lpwstr>2026-02-09T06:02:00+00:00</vt:lpwstr>
  </property>
  <property fmtid="{D5CDD505-2E9C-101B-9397-08002B2CF9AE}" pid="9" name="Modified">
    <vt:lpwstr>2026-02-09T06:18:00+00:00</vt:lpwstr>
  </property>
  <property fmtid="{D5CDD505-2E9C-101B-9397-08002B2CF9AE}" pid="10" name="_dlc_DocIdItemGuid">
    <vt:lpwstr>5ab29394-d754-40df-95fe-0e48ca53bc8f</vt:lpwstr>
  </property>
  <property fmtid="{D5CDD505-2E9C-101B-9397-08002B2CF9AE}" pid="11" name="MediaServiceImageTags">
    <vt:lpwstr/>
  </property>
</Properties>
</file>